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B6" w:rsidRPr="006C7CE4" w:rsidRDefault="00F51FB6" w:rsidP="00CB72F9">
      <w:pPr>
        <w:pBdr>
          <w:top w:val="nil"/>
          <w:left w:val="nil"/>
          <w:bottom w:val="nil"/>
          <w:right w:val="nil"/>
          <w:between w:val="nil"/>
        </w:pBdr>
        <w:spacing w:line="240" w:lineRule="auto"/>
        <w:ind w:left="0" w:hanging="2"/>
        <w:jc w:val="center"/>
        <w:rPr>
          <w:rFonts w:ascii="Arial" w:hAnsi="Arial" w:cs="Arial"/>
          <w:b/>
          <w:color w:val="000000"/>
          <w:lang w:val="ro-RO"/>
        </w:rPr>
      </w:pPr>
    </w:p>
    <w:p w:rsidR="00F51FB6" w:rsidRPr="008704EE" w:rsidRDefault="00F51FB6" w:rsidP="00CB72F9">
      <w:pPr>
        <w:pBdr>
          <w:top w:val="nil"/>
          <w:left w:val="nil"/>
          <w:bottom w:val="nil"/>
          <w:right w:val="nil"/>
          <w:between w:val="nil"/>
        </w:pBdr>
        <w:spacing w:line="240" w:lineRule="auto"/>
        <w:ind w:left="1" w:hanging="3"/>
        <w:jc w:val="center"/>
        <w:rPr>
          <w:rFonts w:asciiTheme="majorHAnsi" w:hAnsiTheme="majorHAnsi" w:cstheme="majorHAnsi"/>
          <w:b/>
          <w:color w:val="000000"/>
          <w:sz w:val="32"/>
          <w:szCs w:val="32"/>
          <w:lang w:val="ro-RO"/>
        </w:rPr>
      </w:pPr>
    </w:p>
    <w:p w:rsidR="00F115A4" w:rsidRPr="008704EE" w:rsidRDefault="00F115A4" w:rsidP="00CB72F9">
      <w:pPr>
        <w:spacing w:line="240" w:lineRule="auto"/>
        <w:ind w:left="1" w:hanging="3"/>
        <w:jc w:val="center"/>
        <w:rPr>
          <w:rFonts w:asciiTheme="majorHAnsi" w:hAnsiTheme="majorHAnsi" w:cstheme="majorHAnsi"/>
          <w:b/>
          <w:sz w:val="32"/>
          <w:szCs w:val="32"/>
          <w:lang w:val="ro-RO"/>
        </w:rPr>
      </w:pPr>
      <w:r w:rsidRPr="008704EE">
        <w:rPr>
          <w:rFonts w:asciiTheme="majorHAnsi" w:hAnsiTheme="majorHAnsi" w:cstheme="majorHAnsi"/>
          <w:b/>
          <w:sz w:val="32"/>
          <w:szCs w:val="32"/>
          <w:lang w:val="ro-RO"/>
        </w:rPr>
        <w:t>APEL PUBLIC</w:t>
      </w:r>
      <w:r w:rsidRPr="008704EE">
        <w:rPr>
          <w:rFonts w:asciiTheme="majorHAnsi" w:hAnsiTheme="majorHAnsi" w:cstheme="majorHAnsi"/>
          <w:sz w:val="32"/>
          <w:szCs w:val="32"/>
          <w:lang w:val="ro-RO"/>
        </w:rPr>
        <w:br/>
      </w:r>
      <w:r w:rsidRPr="008704EE">
        <w:rPr>
          <w:rFonts w:asciiTheme="majorHAnsi" w:hAnsiTheme="majorHAnsi" w:cstheme="majorHAnsi"/>
          <w:b/>
          <w:sz w:val="32"/>
          <w:szCs w:val="32"/>
          <w:lang w:val="ro-RO"/>
        </w:rPr>
        <w:t>Solicităm măsuri urgente pentru susținerea și consolidarea Consiliului pentru egalitate</w:t>
      </w:r>
    </w:p>
    <w:p w:rsidR="00CB72F9" w:rsidRPr="00CB72F9" w:rsidRDefault="00CB72F9" w:rsidP="00CB72F9">
      <w:pPr>
        <w:spacing w:line="240" w:lineRule="auto"/>
        <w:ind w:left="0" w:hanging="2"/>
        <w:jc w:val="center"/>
        <w:rPr>
          <w:rFonts w:asciiTheme="majorHAnsi" w:hAnsiTheme="majorHAnsi" w:cstheme="majorHAnsi"/>
          <w:lang w:val="ro-RO"/>
        </w:rPr>
      </w:pPr>
    </w:p>
    <w:p w:rsidR="00F115A4" w:rsidRPr="00CB72F9" w:rsidRDefault="00F115A4" w:rsidP="00CB72F9">
      <w:pPr>
        <w:spacing w:line="240" w:lineRule="auto"/>
        <w:ind w:left="0" w:hanging="2"/>
        <w:jc w:val="both"/>
        <w:rPr>
          <w:rFonts w:asciiTheme="majorHAnsi" w:hAnsiTheme="majorHAnsi" w:cstheme="majorHAnsi"/>
          <w:lang w:val="ro-RO"/>
        </w:rPr>
      </w:pPr>
      <w:r w:rsidRPr="00CB72F9">
        <w:rPr>
          <w:rFonts w:asciiTheme="majorHAnsi" w:hAnsiTheme="majorHAnsi" w:cstheme="majorHAnsi"/>
          <w:lang w:val="ro-RO"/>
        </w:rPr>
        <w:t>Societatea civilă este profund îngrijorată de lipsa considerării și susținerii corespunzătoare de către decidenți a Consiliului pentru egalitate – instituție esențială în protejarea drepturilor fundamentale și prevenirea discriminării. În absența unor măsuri bugetare și legislative adecvate, Consiliul riscă să intre într-o criză profundă, având deja dificultăți majore în îndeplinirea atribuțiilor sale.</w:t>
      </w:r>
    </w:p>
    <w:p w:rsidR="00F115A4" w:rsidRPr="00CB72F9" w:rsidRDefault="00F115A4" w:rsidP="00CB72F9">
      <w:pPr>
        <w:spacing w:line="240" w:lineRule="auto"/>
        <w:ind w:left="0" w:hanging="2"/>
        <w:jc w:val="both"/>
        <w:rPr>
          <w:rFonts w:asciiTheme="majorHAnsi" w:hAnsiTheme="majorHAnsi" w:cstheme="majorHAnsi"/>
          <w:lang w:val="ro-RO"/>
        </w:rPr>
      </w:pPr>
      <w:r w:rsidRPr="00CB72F9">
        <w:rPr>
          <w:rFonts w:asciiTheme="majorHAnsi" w:hAnsiTheme="majorHAnsi" w:cstheme="majorHAnsi"/>
          <w:lang w:val="ro-RO"/>
        </w:rPr>
        <w:t>Consiliul pentru egalitate reprezintă un pilon fundamental în arhitectura statului de drept, având misiunea de a proteja și promova principiile egalității de tratament, prevenind orice formă de discriminare. Prin activitatea sa, Consiliul contribuie la crearea unei societăți mai echitabile și incluzive, fiind garantul respectării drepturilor fundamentale ale cetățenilor.</w:t>
      </w:r>
    </w:p>
    <w:p w:rsidR="00F115A4" w:rsidRPr="00CB72F9" w:rsidRDefault="00F115A4" w:rsidP="00CB72F9">
      <w:pPr>
        <w:spacing w:line="240" w:lineRule="auto"/>
        <w:ind w:left="0" w:hanging="2"/>
        <w:jc w:val="both"/>
        <w:rPr>
          <w:rFonts w:asciiTheme="majorHAnsi" w:hAnsiTheme="majorHAnsi" w:cstheme="majorHAnsi"/>
          <w:lang w:val="ro-RO"/>
        </w:rPr>
      </w:pPr>
      <w:r w:rsidRPr="00CB72F9">
        <w:rPr>
          <w:rFonts w:asciiTheme="majorHAnsi" w:hAnsiTheme="majorHAnsi" w:cstheme="majorHAnsi"/>
          <w:b/>
          <w:lang w:val="ro-RO"/>
        </w:rPr>
        <w:t xml:space="preserve">Angajamentele asumate de Republica Moldova impun consolidarea capacității Consiliului pentru egalitate, evitând riscurile care îi afectează funcționalitatea. </w:t>
      </w:r>
      <w:r w:rsidRPr="00CB72F9">
        <w:rPr>
          <w:rFonts w:asciiTheme="majorHAnsi" w:hAnsiTheme="majorHAnsi" w:cstheme="majorHAnsi"/>
          <w:lang w:val="ro-RO"/>
        </w:rPr>
        <w:t xml:space="preserve">Republica Moldova, în urma cererii de aderare la UE și a </w:t>
      </w:r>
      <w:hyperlink r:id="rId8">
        <w:r w:rsidRPr="00CB72F9">
          <w:rPr>
            <w:rFonts w:asciiTheme="majorHAnsi" w:hAnsiTheme="majorHAnsi" w:cstheme="majorHAnsi"/>
            <w:color w:val="1155CC"/>
            <w:u w:val="single"/>
            <w:lang w:val="ro-RO"/>
          </w:rPr>
          <w:t>deschiderii negocierilor de aderare în iunie 2024</w:t>
        </w:r>
      </w:hyperlink>
      <w:r w:rsidRPr="00CB72F9">
        <w:rPr>
          <w:rFonts w:asciiTheme="majorHAnsi" w:hAnsiTheme="majorHAnsi" w:cstheme="majorHAnsi"/>
          <w:lang w:val="ro-RO"/>
        </w:rPr>
        <w:t xml:space="preserve">, și-a asumat respectarea valorilor fundamentale prevăzute în articolul 2 TUE. Respectarea directivelor europene devine obligatorie pentru statele candidate, fiind o condiție esențială a procesului de integrare. Conform </w:t>
      </w:r>
      <w:hyperlink r:id="rId9">
        <w:r w:rsidRPr="00CB72F9">
          <w:rPr>
            <w:rFonts w:asciiTheme="majorHAnsi" w:hAnsiTheme="majorHAnsi" w:cstheme="majorHAnsi"/>
            <w:color w:val="1155CC"/>
            <w:u w:val="single"/>
            <w:lang w:val="ro-RO"/>
          </w:rPr>
          <w:t>Directivei (UE) 2024/1499 a Consiliului din 7 mai 2024</w:t>
        </w:r>
      </w:hyperlink>
      <w:r w:rsidRPr="00CB72F9">
        <w:rPr>
          <w:rFonts w:asciiTheme="majorHAnsi" w:hAnsiTheme="majorHAnsi" w:cstheme="majorHAnsi"/>
          <w:lang w:val="ro-RO"/>
        </w:rPr>
        <w:t>, statele membre sunt obligate să consolideze organismele de promovare a egalității, asigurând resurse suficiente pentru funcționarea eficientă și independența acestora. Directiva prevede:</w:t>
      </w:r>
    </w:p>
    <w:p w:rsidR="00F115A4" w:rsidRPr="00CB72F9" w:rsidRDefault="00F115A4" w:rsidP="00CB72F9">
      <w:pPr>
        <w:numPr>
          <w:ilvl w:val="0"/>
          <w:numId w:val="8"/>
        </w:numPr>
        <w:suppressAutoHyphens w:val="0"/>
        <w:spacing w:line="240" w:lineRule="auto"/>
        <w:ind w:leftChars="0" w:left="0" w:firstLineChars="0" w:firstLine="284"/>
        <w:jc w:val="both"/>
        <w:textDirection w:val="lrTb"/>
        <w:textAlignment w:val="auto"/>
        <w:outlineLvl w:val="9"/>
        <w:rPr>
          <w:rFonts w:asciiTheme="majorHAnsi" w:hAnsiTheme="majorHAnsi" w:cstheme="majorHAnsi"/>
          <w:lang w:val="ro-RO"/>
        </w:rPr>
      </w:pPr>
      <w:r w:rsidRPr="00CB72F9">
        <w:rPr>
          <w:rFonts w:asciiTheme="majorHAnsi" w:hAnsiTheme="majorHAnsi" w:cstheme="majorHAnsi"/>
          <w:lang w:val="ro-RO"/>
        </w:rPr>
        <w:t>Statele membre trebuie să se asigure că organismele de promovare a egalității primesc resurse suficiente, inclusiv personal calificat, spații și infrastructuri adecvate pentru a-și îndeplini fiecare dintre atribuții în mod eficace (punctul 21).</w:t>
      </w:r>
    </w:p>
    <w:p w:rsidR="00F115A4" w:rsidRPr="00CB72F9" w:rsidRDefault="00F115A4" w:rsidP="00CB72F9">
      <w:pPr>
        <w:numPr>
          <w:ilvl w:val="0"/>
          <w:numId w:val="8"/>
        </w:numPr>
        <w:suppressAutoHyphens w:val="0"/>
        <w:spacing w:line="240" w:lineRule="auto"/>
        <w:ind w:leftChars="0" w:left="0" w:firstLineChars="0" w:firstLine="284"/>
        <w:jc w:val="both"/>
        <w:textDirection w:val="lrTb"/>
        <w:textAlignment w:val="auto"/>
        <w:outlineLvl w:val="9"/>
        <w:rPr>
          <w:rFonts w:asciiTheme="majorHAnsi" w:hAnsiTheme="majorHAnsi" w:cstheme="majorHAnsi"/>
          <w:lang w:val="ro-RO"/>
        </w:rPr>
      </w:pPr>
      <w:r w:rsidRPr="00CB72F9">
        <w:rPr>
          <w:rFonts w:asciiTheme="majorHAnsi" w:hAnsiTheme="majorHAnsi" w:cstheme="majorHAnsi"/>
          <w:lang w:val="ro-RO"/>
        </w:rPr>
        <w:t>Este important ca alocarea resurselor să fie stabilă, planificată pe bază multianuală, pentru a permite acoperirea costurilor neprevăzute, inclusiv creșterea numărului de plângeri sau utilizarea tehnologiilor avansate, cum ar fi inteligența artificială (punctul 22).</w:t>
      </w:r>
    </w:p>
    <w:p w:rsidR="00F115A4" w:rsidRPr="00CB72F9" w:rsidRDefault="00F115A4" w:rsidP="00CB72F9">
      <w:pPr>
        <w:spacing w:line="240" w:lineRule="auto"/>
        <w:ind w:left="0" w:hanging="2"/>
        <w:jc w:val="both"/>
        <w:rPr>
          <w:rFonts w:asciiTheme="majorHAnsi" w:hAnsiTheme="majorHAnsi" w:cstheme="majorHAnsi"/>
          <w:lang w:val="ro-RO"/>
        </w:rPr>
      </w:pPr>
      <w:r w:rsidRPr="00CB72F9">
        <w:rPr>
          <w:rFonts w:asciiTheme="majorHAnsi" w:hAnsiTheme="majorHAnsi" w:cstheme="majorHAnsi"/>
          <w:lang w:val="ro-RO"/>
        </w:rPr>
        <w:t xml:space="preserve">Această necesitate este subliniată și de alte recomandări internaționale relevante: </w:t>
      </w:r>
      <w:hyperlink r:id="rId10">
        <w:r w:rsidRPr="00CB72F9">
          <w:rPr>
            <w:rFonts w:asciiTheme="majorHAnsi" w:hAnsiTheme="majorHAnsi" w:cstheme="majorHAnsi"/>
            <w:b/>
            <w:color w:val="467886"/>
            <w:u w:val="single"/>
            <w:lang w:val="ro-RO"/>
          </w:rPr>
          <w:t>Comunicarea Comisiei Europene către Parlamentul European din 2024</w:t>
        </w:r>
      </w:hyperlink>
      <w:r w:rsidRPr="00CB72F9">
        <w:rPr>
          <w:rFonts w:asciiTheme="majorHAnsi" w:hAnsiTheme="majorHAnsi" w:cstheme="majorHAnsi"/>
          <w:lang w:val="ro-RO"/>
        </w:rPr>
        <w:t xml:space="preserve">: „Este esențială consolidarea instituțiilor de promovare a egalității prin alocarea resurselor financiare și umane suficiente pentru a asigura îndeplinirea eficientă a mandatelor acestora.” </w:t>
      </w:r>
      <w:hyperlink r:id="rId11">
        <w:r w:rsidRPr="00CB72F9">
          <w:rPr>
            <w:rFonts w:asciiTheme="majorHAnsi" w:hAnsiTheme="majorHAnsi" w:cstheme="majorHAnsi"/>
            <w:b/>
            <w:color w:val="467886"/>
            <w:u w:val="single"/>
            <w:lang w:val="ro-RO"/>
          </w:rPr>
          <w:t>Rapoartele Comisiei Europene împotriva Rasismului și Intoleranței (CERI) din 2018 și 2024</w:t>
        </w:r>
      </w:hyperlink>
      <w:hyperlink r:id="rId12">
        <w:r w:rsidRPr="00CB72F9">
          <w:rPr>
            <w:rFonts w:asciiTheme="majorHAnsi" w:hAnsiTheme="majorHAnsi" w:cstheme="majorHAnsi"/>
            <w:color w:val="467886"/>
            <w:u w:val="single"/>
            <w:lang w:val="ro-RO"/>
          </w:rPr>
          <w:t>:</w:t>
        </w:r>
      </w:hyperlink>
      <w:r w:rsidRPr="00CB72F9">
        <w:rPr>
          <w:rFonts w:asciiTheme="majorHAnsi" w:hAnsiTheme="majorHAnsi" w:cstheme="majorHAnsi"/>
          <w:lang w:val="ro-RO"/>
        </w:rPr>
        <w:t xml:space="preserve"> „CERI recomandă autorităților să aloce resurse financiare și umane adecvate Consiliului pentru egalitate, pentru a-și îndeplini mandatul în mod eficient.” </w:t>
      </w:r>
      <w:hyperlink r:id="rId13">
        <w:r w:rsidRPr="00CB72F9">
          <w:rPr>
            <w:rFonts w:asciiTheme="majorHAnsi" w:hAnsiTheme="majorHAnsi" w:cstheme="majorHAnsi"/>
            <w:b/>
            <w:color w:val="467886"/>
            <w:u w:val="single"/>
            <w:lang w:val="ro-RO"/>
          </w:rPr>
          <w:t>Examinarea Periodică Universală (UPR) din 2022</w:t>
        </w:r>
      </w:hyperlink>
      <w:r w:rsidRPr="00CB72F9">
        <w:rPr>
          <w:rFonts w:asciiTheme="majorHAnsi" w:hAnsiTheme="majorHAnsi" w:cstheme="majorHAnsi"/>
          <w:lang w:val="ro-RO"/>
        </w:rPr>
        <w:t xml:space="preserve">: „Se recomandă asigurarea unei finanțări adecvate pentru Consiliul pentru egalitate, pentru a sprijini prevenirea și combaterea discriminării.” </w:t>
      </w:r>
    </w:p>
    <w:p w:rsidR="00F115A4" w:rsidRPr="00CB72F9" w:rsidRDefault="00F115A4" w:rsidP="00CB72F9">
      <w:pPr>
        <w:spacing w:line="240" w:lineRule="auto"/>
        <w:ind w:left="0" w:hanging="2"/>
        <w:jc w:val="both"/>
        <w:rPr>
          <w:rFonts w:asciiTheme="majorHAnsi" w:hAnsiTheme="majorHAnsi" w:cstheme="majorHAnsi"/>
          <w:i/>
          <w:lang w:val="ro-RO"/>
        </w:rPr>
      </w:pPr>
      <w:r w:rsidRPr="00CB72F9">
        <w:rPr>
          <w:rFonts w:asciiTheme="majorHAnsi" w:hAnsiTheme="majorHAnsi" w:cstheme="majorHAnsi"/>
          <w:lang w:val="ro-RO"/>
        </w:rPr>
        <w:t xml:space="preserve">Prin </w:t>
      </w:r>
      <w:hyperlink r:id="rId14">
        <w:r w:rsidRPr="00CB72F9">
          <w:rPr>
            <w:rFonts w:asciiTheme="majorHAnsi" w:hAnsiTheme="majorHAnsi" w:cstheme="majorHAnsi"/>
            <w:color w:val="467886"/>
            <w:u w:val="single"/>
            <w:lang w:val="ro-RO"/>
          </w:rPr>
          <w:t>Recomandarea nr. 1/2022 a Consiliului de Asociere UE-Republica Moldova din 22 august 2022, privind Programul de asociere UE-Republica Moldova [2022/1997],</w:t>
        </w:r>
      </w:hyperlink>
      <w:r w:rsidRPr="00CB72F9">
        <w:rPr>
          <w:rFonts w:asciiTheme="majorHAnsi" w:hAnsiTheme="majorHAnsi" w:cstheme="majorHAnsi"/>
          <w:b/>
          <w:lang w:val="ro-RO"/>
        </w:rPr>
        <w:t>statul și-a asumat, pentru 2025, angajamentul de</w:t>
      </w:r>
      <w:r w:rsidRPr="00CB72F9">
        <w:rPr>
          <w:rFonts w:asciiTheme="majorHAnsi" w:hAnsiTheme="majorHAnsi" w:cstheme="majorHAnsi"/>
          <w:lang w:val="ro-RO"/>
        </w:rPr>
        <w:t xml:space="preserve">: </w:t>
      </w:r>
      <w:r w:rsidRPr="00CB72F9">
        <w:rPr>
          <w:rFonts w:asciiTheme="majorHAnsi" w:hAnsiTheme="majorHAnsi" w:cstheme="majorHAnsi"/>
          <w:i/>
          <w:lang w:val="ro-RO"/>
        </w:rPr>
        <w:t xml:space="preserve">„Consolidare a capacității Consiliului pentru prevenirea și eliminarea discriminării și </w:t>
      </w:r>
      <w:r w:rsidRPr="00CB72F9">
        <w:rPr>
          <w:rFonts w:asciiTheme="majorHAnsi" w:hAnsiTheme="majorHAnsi" w:cstheme="majorHAnsi"/>
          <w:i/>
          <w:lang w:val="ro-RO"/>
        </w:rPr>
        <w:lastRenderedPageBreak/>
        <w:t>asigurarea egalității („Consiliul pentru egalitate”) prin punerea la dispoziție a resurselor umane și financiare adecvate, precum și prin asigurarea unui nivel suficient de competențe juridice, și sporirea independenței și a eficacității acestui organism, în conformitate cu Recomandarea Comisiei Europene privind standardele aplicabile organismelor de promovare a egalității.”</w:t>
      </w:r>
    </w:p>
    <w:p w:rsidR="00F115A4" w:rsidRPr="00CB72F9" w:rsidRDefault="00F115A4" w:rsidP="00CB72F9">
      <w:pPr>
        <w:spacing w:line="240" w:lineRule="auto"/>
        <w:ind w:left="0" w:hanging="2"/>
        <w:jc w:val="both"/>
        <w:rPr>
          <w:rFonts w:asciiTheme="majorHAnsi" w:hAnsiTheme="majorHAnsi" w:cstheme="majorHAnsi"/>
          <w:lang w:val="ro-RO"/>
        </w:rPr>
      </w:pPr>
      <w:r w:rsidRPr="00CB72F9">
        <w:rPr>
          <w:rFonts w:asciiTheme="majorHAnsi" w:hAnsiTheme="majorHAnsi" w:cstheme="majorHAnsi"/>
          <w:b/>
          <w:lang w:val="ro-RO"/>
        </w:rPr>
        <w:t xml:space="preserve">Deficitul de personal și condițiile salariale precare pun în pericol funcționarea Consiliului. </w:t>
      </w:r>
      <w:r w:rsidRPr="00CB72F9">
        <w:rPr>
          <w:rFonts w:asciiTheme="majorHAnsi" w:hAnsiTheme="majorHAnsi" w:cstheme="majorHAnsi"/>
          <w:lang w:val="ro-RO"/>
        </w:rPr>
        <w:t>Deși Republica Moldova s-a angajat să asigure consolidarea Consiliului pentru egalitate, realitatea din teren indică o situație alarmantă. În ultimii ani, rata de ocupare a personalului în cadrul Consiliului a înregistrat o scădere continuă, iar numărul de angajați este în permanentă diminuare. Dacă în 2023 rata de ocupare a funcțiilor de execuție era de cca  55.56%, la moment rata este de 38.89%. Fără măsuri urgente, există riscul ca, în 2025, Consiliul să existe doar formal, incapabil să-și îndeplinească atribuțiile prevăzute de lege și să protejeze drepturile fundamentale ale cetățenilor.</w:t>
      </w:r>
    </w:p>
    <w:p w:rsidR="00F115A4" w:rsidRPr="00CB72F9" w:rsidRDefault="00F115A4" w:rsidP="00CB72F9">
      <w:pPr>
        <w:spacing w:after="0" w:line="240" w:lineRule="auto"/>
        <w:ind w:left="0" w:hanging="2"/>
        <w:jc w:val="both"/>
        <w:rPr>
          <w:rFonts w:asciiTheme="majorHAnsi" w:hAnsiTheme="majorHAnsi" w:cstheme="majorHAnsi"/>
          <w:lang w:val="ro-RO"/>
        </w:rPr>
      </w:pPr>
      <w:r w:rsidRPr="00CB72F9">
        <w:rPr>
          <w:rFonts w:asciiTheme="majorHAnsi" w:hAnsiTheme="majorHAnsi" w:cstheme="majorHAnsi"/>
          <w:b/>
          <w:lang w:val="ro-RO"/>
        </w:rPr>
        <w:t>În prezent, Consiliul se confruntă cu o criză severă de personal de execuție.</w:t>
      </w:r>
    </w:p>
    <w:p w:rsidR="00F115A4" w:rsidRPr="00CB72F9" w:rsidRDefault="00F115A4" w:rsidP="00CB72F9">
      <w:pPr>
        <w:numPr>
          <w:ilvl w:val="0"/>
          <w:numId w:val="6"/>
        </w:numPr>
        <w:suppressAutoHyphens w:val="0"/>
        <w:spacing w:after="0" w:line="240" w:lineRule="auto"/>
        <w:ind w:leftChars="0" w:left="0" w:firstLineChars="0" w:firstLine="426"/>
        <w:jc w:val="both"/>
        <w:textDirection w:val="lrTb"/>
        <w:textAlignment w:val="auto"/>
        <w:outlineLvl w:val="9"/>
        <w:rPr>
          <w:rFonts w:asciiTheme="majorHAnsi" w:hAnsiTheme="majorHAnsi" w:cstheme="majorHAnsi"/>
          <w:lang w:val="ro-RO"/>
        </w:rPr>
      </w:pPr>
      <w:r w:rsidRPr="00CB72F9">
        <w:rPr>
          <w:rFonts w:asciiTheme="majorHAnsi" w:hAnsiTheme="majorHAnsi" w:cstheme="majorHAnsi"/>
          <w:lang w:val="ro-RO"/>
        </w:rPr>
        <w:t xml:space="preserve">În Direcția Combaterea Discriminării, din </w:t>
      </w:r>
      <w:r w:rsidRPr="00CB72F9">
        <w:rPr>
          <w:rFonts w:asciiTheme="majorHAnsi" w:hAnsiTheme="majorHAnsi" w:cstheme="majorHAnsi"/>
          <w:b/>
          <w:lang w:val="ro-RO"/>
        </w:rPr>
        <w:t xml:space="preserve">șase posturi </w:t>
      </w:r>
      <w:r w:rsidRPr="00CB72F9">
        <w:rPr>
          <w:rFonts w:asciiTheme="majorHAnsi" w:hAnsiTheme="majorHAnsi" w:cstheme="majorHAnsi"/>
          <w:lang w:val="ro-RO"/>
        </w:rPr>
        <w:t xml:space="preserve">de consultanți sunt ocupate doar </w:t>
      </w:r>
      <w:r w:rsidRPr="00CB72F9">
        <w:rPr>
          <w:rFonts w:asciiTheme="majorHAnsi" w:hAnsiTheme="majorHAnsi" w:cstheme="majorHAnsi"/>
          <w:b/>
          <w:lang w:val="ro-RO"/>
        </w:rPr>
        <w:t>două</w:t>
      </w:r>
      <w:r w:rsidRPr="00CB72F9">
        <w:rPr>
          <w:rFonts w:asciiTheme="majorHAnsi" w:hAnsiTheme="majorHAnsi" w:cstheme="majorHAnsi"/>
          <w:lang w:val="ro-RO"/>
        </w:rPr>
        <w:t>;</w:t>
      </w:r>
    </w:p>
    <w:p w:rsidR="00F115A4" w:rsidRPr="00CB72F9" w:rsidRDefault="00F115A4" w:rsidP="00CB72F9">
      <w:pPr>
        <w:numPr>
          <w:ilvl w:val="0"/>
          <w:numId w:val="6"/>
        </w:numPr>
        <w:suppressAutoHyphens w:val="0"/>
        <w:spacing w:after="0" w:line="240" w:lineRule="auto"/>
        <w:ind w:leftChars="0" w:left="0" w:firstLineChars="0" w:firstLine="426"/>
        <w:jc w:val="both"/>
        <w:textDirection w:val="lrTb"/>
        <w:textAlignment w:val="auto"/>
        <w:outlineLvl w:val="9"/>
        <w:rPr>
          <w:rFonts w:asciiTheme="majorHAnsi" w:hAnsiTheme="majorHAnsi" w:cstheme="majorHAnsi"/>
          <w:lang w:val="ro-RO"/>
        </w:rPr>
      </w:pPr>
      <w:r w:rsidRPr="00CB72F9">
        <w:rPr>
          <w:rFonts w:asciiTheme="majorHAnsi" w:hAnsiTheme="majorHAnsi" w:cstheme="majorHAnsi"/>
          <w:lang w:val="ro-RO"/>
        </w:rPr>
        <w:t xml:space="preserve">În Direcția Politici Nediscriminare, din </w:t>
      </w:r>
      <w:r w:rsidRPr="00CB72F9">
        <w:rPr>
          <w:rFonts w:asciiTheme="majorHAnsi" w:hAnsiTheme="majorHAnsi" w:cstheme="majorHAnsi"/>
          <w:b/>
          <w:lang w:val="ro-RO"/>
        </w:rPr>
        <w:t xml:space="preserve">patru posturi </w:t>
      </w:r>
      <w:r w:rsidRPr="00CB72F9">
        <w:rPr>
          <w:rFonts w:asciiTheme="majorHAnsi" w:hAnsiTheme="majorHAnsi" w:cstheme="majorHAnsi"/>
          <w:lang w:val="ro-RO"/>
        </w:rPr>
        <w:t xml:space="preserve">de consultant doar </w:t>
      </w:r>
      <w:r w:rsidRPr="00CB72F9">
        <w:rPr>
          <w:rFonts w:asciiTheme="majorHAnsi" w:hAnsiTheme="majorHAnsi" w:cstheme="majorHAnsi"/>
          <w:b/>
          <w:lang w:val="ro-RO"/>
        </w:rPr>
        <w:t xml:space="preserve">unul </w:t>
      </w:r>
      <w:r w:rsidRPr="00CB72F9">
        <w:rPr>
          <w:rFonts w:asciiTheme="majorHAnsi" w:hAnsiTheme="majorHAnsi" w:cstheme="majorHAnsi"/>
          <w:lang w:val="ro-RO"/>
        </w:rPr>
        <w:t>este acoperit;</w:t>
      </w:r>
    </w:p>
    <w:p w:rsidR="00F115A4" w:rsidRPr="00CB72F9" w:rsidRDefault="00F115A4" w:rsidP="00CB72F9">
      <w:pPr>
        <w:numPr>
          <w:ilvl w:val="0"/>
          <w:numId w:val="6"/>
        </w:numPr>
        <w:suppressAutoHyphens w:val="0"/>
        <w:spacing w:line="240" w:lineRule="auto"/>
        <w:ind w:leftChars="0" w:left="0" w:firstLineChars="0" w:firstLine="426"/>
        <w:jc w:val="both"/>
        <w:textDirection w:val="lrTb"/>
        <w:textAlignment w:val="auto"/>
        <w:outlineLvl w:val="9"/>
        <w:rPr>
          <w:rFonts w:asciiTheme="majorHAnsi" w:hAnsiTheme="majorHAnsi" w:cstheme="majorHAnsi"/>
          <w:lang w:val="ro-RO"/>
        </w:rPr>
      </w:pPr>
      <w:r w:rsidRPr="00CB72F9">
        <w:rPr>
          <w:rFonts w:asciiTheme="majorHAnsi" w:hAnsiTheme="majorHAnsi" w:cstheme="majorHAnsi"/>
          <w:lang w:val="ro-RO"/>
        </w:rPr>
        <w:t xml:space="preserve">În Direcția Monitorizare, din </w:t>
      </w:r>
      <w:r w:rsidRPr="00CB72F9">
        <w:rPr>
          <w:rFonts w:asciiTheme="majorHAnsi" w:hAnsiTheme="majorHAnsi" w:cstheme="majorHAnsi"/>
          <w:b/>
          <w:lang w:val="ro-RO"/>
        </w:rPr>
        <w:t xml:space="preserve">cinci unități </w:t>
      </w:r>
      <w:r w:rsidRPr="00CB72F9">
        <w:rPr>
          <w:rFonts w:asciiTheme="majorHAnsi" w:hAnsiTheme="majorHAnsi" w:cstheme="majorHAnsi"/>
          <w:lang w:val="ro-RO"/>
        </w:rPr>
        <w:t xml:space="preserve">de consultant doar </w:t>
      </w:r>
      <w:r w:rsidRPr="00CB72F9">
        <w:rPr>
          <w:rFonts w:asciiTheme="majorHAnsi" w:hAnsiTheme="majorHAnsi" w:cstheme="majorHAnsi"/>
          <w:b/>
          <w:lang w:val="ro-RO"/>
        </w:rPr>
        <w:t xml:space="preserve">una </w:t>
      </w:r>
      <w:r w:rsidRPr="00CB72F9">
        <w:rPr>
          <w:rFonts w:asciiTheme="majorHAnsi" w:hAnsiTheme="majorHAnsi" w:cstheme="majorHAnsi"/>
          <w:lang w:val="ro-RO"/>
        </w:rPr>
        <w:t>este activă.</w:t>
      </w:r>
    </w:p>
    <w:p w:rsidR="00F115A4" w:rsidRPr="00CB72F9" w:rsidRDefault="00F115A4" w:rsidP="00CB72F9">
      <w:pPr>
        <w:spacing w:line="240" w:lineRule="auto"/>
        <w:ind w:left="0" w:hanging="2"/>
        <w:jc w:val="both"/>
        <w:rPr>
          <w:rFonts w:asciiTheme="majorHAnsi" w:hAnsiTheme="majorHAnsi" w:cstheme="majorHAnsi"/>
          <w:lang w:val="ro-RO"/>
        </w:rPr>
      </w:pPr>
      <w:r w:rsidRPr="00CB72F9">
        <w:rPr>
          <w:rFonts w:asciiTheme="majorHAnsi" w:hAnsiTheme="majorHAnsi" w:cstheme="majorHAnsi"/>
          <w:lang w:val="ro-RO"/>
        </w:rPr>
        <w:t xml:space="preserve">Această lipsă de personal generează întârzieri și incapacitatea practică de a gestiona cazurile, afectând direct cetățenii care depind de protecția instituției și reducând încrederea populației față de instituție. Deficitul de personal în cadrul Consiliului este cauzat în principal de nivelul scăzut al salarizării, care face instituția neatractivă pentru specialiști. Salariul unui </w:t>
      </w:r>
      <w:r w:rsidRPr="00CB72F9">
        <w:rPr>
          <w:rFonts w:asciiTheme="majorHAnsi" w:hAnsiTheme="majorHAnsi" w:cstheme="majorHAnsi"/>
          <w:b/>
          <w:i/>
          <w:lang w:val="ro-RO"/>
        </w:rPr>
        <w:t>consultant în cadrul Consiliului este de 9.530 de lei</w:t>
      </w:r>
      <w:r w:rsidRPr="00CB72F9">
        <w:rPr>
          <w:rFonts w:asciiTheme="majorHAnsi" w:hAnsiTheme="majorHAnsi" w:cstheme="majorHAnsi"/>
          <w:lang w:val="ro-RO"/>
        </w:rPr>
        <w:t xml:space="preserve">, în timp ce </w:t>
      </w:r>
      <w:r w:rsidRPr="00CB72F9">
        <w:rPr>
          <w:rFonts w:asciiTheme="majorHAnsi" w:hAnsiTheme="majorHAnsi" w:cstheme="majorHAnsi"/>
          <w:b/>
          <w:i/>
          <w:lang w:val="ro-RO"/>
        </w:rPr>
        <w:t>în ministere, pentru aceeași funcție, acesta ajunge la aproximativ 13.000 de lei</w:t>
      </w:r>
      <w:r w:rsidRPr="00CB72F9">
        <w:rPr>
          <w:rFonts w:asciiTheme="majorHAnsi" w:hAnsiTheme="majorHAnsi" w:cstheme="majorHAnsi"/>
          <w:lang w:val="ro-RO"/>
        </w:rPr>
        <w:t xml:space="preserve">. Această discrepanță salarială face ca personalul nou calificat să nu fie interesat să se angajeze, iar personalul existent să părăsească instituția, nemulțumit de remunerația inadecvată și de volumul excesiv de muncă, generat de vacanța funcțiilor de execuție. Lipsa unor fonduri pentru plata cumulului de funcții amplifică problema, creând riscul ca și angajații rămași să demisioneze, fiind obligați să gestioneze un volum de muncă mult crescut pentru o remunerație insuficientă și inegală. </w:t>
      </w:r>
    </w:p>
    <w:p w:rsidR="00F115A4" w:rsidRPr="00CB72F9" w:rsidRDefault="00F115A4" w:rsidP="00CB72F9">
      <w:pPr>
        <w:spacing w:line="240" w:lineRule="auto"/>
        <w:ind w:left="0" w:hanging="2"/>
        <w:jc w:val="both"/>
        <w:rPr>
          <w:rFonts w:asciiTheme="majorHAnsi" w:hAnsiTheme="majorHAnsi" w:cstheme="majorHAnsi"/>
          <w:lang w:val="ro-RO"/>
        </w:rPr>
      </w:pPr>
      <w:r w:rsidRPr="00CB72F9">
        <w:rPr>
          <w:rFonts w:asciiTheme="majorHAnsi" w:hAnsiTheme="majorHAnsi" w:cstheme="majorHAnsi"/>
          <w:lang w:val="ro-RO"/>
        </w:rPr>
        <w:t>O problemă sunt și întârzierile semnificative în remunerarea membrilor Consiliului, care nu și-au primit remunerarea de patru luni. Aceste probleme sistemice subminează funcționarea instituției și afectează grav capacitatea sa de a-și îndeplini mandatul.</w:t>
      </w:r>
    </w:p>
    <w:p w:rsidR="00F115A4" w:rsidRPr="00CB72F9" w:rsidRDefault="00F115A4" w:rsidP="00CB72F9">
      <w:pPr>
        <w:spacing w:line="240" w:lineRule="auto"/>
        <w:ind w:left="0" w:hanging="2"/>
        <w:jc w:val="both"/>
        <w:rPr>
          <w:rFonts w:asciiTheme="majorHAnsi" w:hAnsiTheme="majorHAnsi" w:cstheme="majorHAnsi"/>
          <w:lang w:val="ro-RO"/>
        </w:rPr>
      </w:pPr>
      <w:r w:rsidRPr="00CB72F9">
        <w:rPr>
          <w:rFonts w:asciiTheme="majorHAnsi" w:hAnsiTheme="majorHAnsi" w:cstheme="majorHAnsi"/>
          <w:b/>
          <w:lang w:val="ro-RO"/>
        </w:rPr>
        <w:t xml:space="preserve">Evitarea includerii Consiliului în lista autorităților publice vizate de proiectele legislative recente privind salarizarea în sectorul bugetar intensifică vulnerabilitatea instituției. </w:t>
      </w:r>
      <w:r w:rsidRPr="00CB72F9">
        <w:rPr>
          <w:rFonts w:asciiTheme="majorHAnsi" w:hAnsiTheme="majorHAnsi" w:cstheme="majorHAnsi"/>
          <w:lang w:val="ro-RO"/>
        </w:rPr>
        <w:t xml:space="preserve">Pe 5 decembrie 2024, Parlamentul a votat în prima lectură </w:t>
      </w:r>
      <w:hyperlink r:id="rId15">
        <w:r w:rsidRPr="00CB72F9">
          <w:rPr>
            <w:rFonts w:asciiTheme="majorHAnsi" w:hAnsiTheme="majorHAnsi" w:cstheme="majorHAnsi"/>
            <w:color w:val="467886"/>
            <w:u w:val="single"/>
            <w:lang w:val="ro-RO"/>
          </w:rPr>
          <w:t>proiectul de lege nr. 361/2024 pentru modificarea Legii nr. 270/2018 privind sistemul unitar de salarizare în sectorul bugetar</w:t>
        </w:r>
      </w:hyperlink>
      <w:r w:rsidRPr="00CB72F9">
        <w:rPr>
          <w:rFonts w:asciiTheme="majorHAnsi" w:hAnsiTheme="majorHAnsi" w:cstheme="majorHAnsi"/>
          <w:lang w:val="ro-RO"/>
        </w:rPr>
        <w:t>. Proiectul prevede majorări salariale pentru mai multe instituții, inclusiv Oficiul Avocatului Poporului, însă Consiliul pentru egalitate în mod repetat nu a fost vizat.</w:t>
      </w:r>
    </w:p>
    <w:p w:rsidR="00F115A4" w:rsidRPr="00CB72F9" w:rsidRDefault="00F115A4" w:rsidP="00CB72F9">
      <w:pPr>
        <w:spacing w:line="240" w:lineRule="auto"/>
        <w:ind w:left="0" w:hanging="2"/>
        <w:jc w:val="both"/>
        <w:rPr>
          <w:rFonts w:asciiTheme="majorHAnsi" w:hAnsiTheme="majorHAnsi" w:cstheme="majorHAnsi"/>
          <w:lang w:val="ro-RO"/>
        </w:rPr>
      </w:pPr>
      <w:r w:rsidRPr="00CB72F9">
        <w:rPr>
          <w:rFonts w:asciiTheme="majorHAnsi" w:hAnsiTheme="majorHAnsi" w:cstheme="majorHAnsi"/>
          <w:lang w:val="ro-RO"/>
        </w:rPr>
        <w:t xml:space="preserve">Totodată, în </w:t>
      </w:r>
      <w:hyperlink r:id="rId16">
        <w:r w:rsidRPr="00CB72F9">
          <w:rPr>
            <w:rFonts w:asciiTheme="majorHAnsi" w:hAnsiTheme="majorHAnsi" w:cstheme="majorHAnsi"/>
            <w:color w:val="467886"/>
            <w:u w:val="single"/>
            <w:lang w:val="ro-RO"/>
          </w:rPr>
          <w:t>proiectul legii bugetului pentru 2025</w:t>
        </w:r>
      </w:hyperlink>
      <w:r w:rsidRPr="00CB72F9">
        <w:rPr>
          <w:rFonts w:asciiTheme="majorHAnsi" w:hAnsiTheme="majorHAnsi" w:cstheme="majorHAnsi"/>
          <w:lang w:val="ro-RO"/>
        </w:rPr>
        <w:t xml:space="preserve"> nu au fost prevăzute fonduri suficiente pentru majorarea salariilor personalului Consiliului, plata cumulului de funcții și remunerarea suficientă a membrilor Consiliului. În condițiile actualelor alocări, această situație se va perpetua în 2025, punând în pericol funcționarea Consiliului și subminând protecția drepturilor fundamentale ale cetățenilor.</w:t>
      </w:r>
    </w:p>
    <w:p w:rsidR="00F115A4" w:rsidRPr="00CB72F9" w:rsidRDefault="00F115A4" w:rsidP="00CB72F9">
      <w:pPr>
        <w:spacing w:line="240" w:lineRule="auto"/>
        <w:ind w:left="0" w:hanging="2"/>
        <w:jc w:val="both"/>
        <w:rPr>
          <w:rFonts w:asciiTheme="majorHAnsi" w:hAnsiTheme="majorHAnsi" w:cstheme="majorHAnsi"/>
          <w:b/>
          <w:lang w:val="ro-RO"/>
        </w:rPr>
      </w:pPr>
      <w:r w:rsidRPr="00CB72F9">
        <w:rPr>
          <w:rFonts w:asciiTheme="majorHAnsi" w:hAnsiTheme="majorHAnsi" w:cstheme="majorHAnsi"/>
          <w:b/>
          <w:lang w:val="ro-RO"/>
        </w:rPr>
        <w:t>În contextul celor menționate, organizațiile semnatare solicită Parlamentului Republicii Moldova să ia măsuri urgente pentru a sprijini această instituție vitală, asigurând resursele necesare pentru funcționarea sa eficientă.</w:t>
      </w:r>
    </w:p>
    <w:p w:rsidR="00F115A4" w:rsidRPr="00CB72F9" w:rsidRDefault="00F115A4" w:rsidP="00CB72F9">
      <w:pPr>
        <w:numPr>
          <w:ilvl w:val="0"/>
          <w:numId w:val="7"/>
        </w:numPr>
        <w:pBdr>
          <w:top w:val="nil"/>
          <w:left w:val="nil"/>
          <w:bottom w:val="nil"/>
          <w:right w:val="nil"/>
          <w:between w:val="nil"/>
        </w:pBdr>
        <w:tabs>
          <w:tab w:val="left" w:pos="142"/>
        </w:tabs>
        <w:suppressAutoHyphens w:val="0"/>
        <w:spacing w:line="240" w:lineRule="auto"/>
        <w:ind w:leftChars="0" w:left="0" w:firstLineChars="0" w:firstLine="284"/>
        <w:jc w:val="both"/>
        <w:textDirection w:val="lrTb"/>
        <w:textAlignment w:val="auto"/>
        <w:outlineLvl w:val="9"/>
        <w:rPr>
          <w:rFonts w:asciiTheme="majorHAnsi" w:hAnsiTheme="majorHAnsi" w:cstheme="majorHAnsi"/>
          <w:i/>
          <w:iCs/>
          <w:color w:val="000000"/>
          <w:lang w:val="ro-RO"/>
        </w:rPr>
      </w:pPr>
      <w:r w:rsidRPr="00CB72F9">
        <w:rPr>
          <w:rFonts w:asciiTheme="majorHAnsi" w:hAnsiTheme="majorHAnsi" w:cstheme="majorHAnsi"/>
          <w:b/>
          <w:i/>
          <w:iCs/>
          <w:color w:val="000000"/>
          <w:lang w:val="ro-RO"/>
        </w:rPr>
        <w:lastRenderedPageBreak/>
        <w:t xml:space="preserve">Introducerea Consiliului pentru </w:t>
      </w:r>
      <w:r w:rsidRPr="00CB72F9">
        <w:rPr>
          <w:rFonts w:asciiTheme="majorHAnsi" w:hAnsiTheme="majorHAnsi" w:cstheme="majorHAnsi"/>
          <w:b/>
          <w:i/>
          <w:iCs/>
          <w:lang w:val="ro-RO"/>
        </w:rPr>
        <w:t>e</w:t>
      </w:r>
      <w:r w:rsidRPr="00CB72F9">
        <w:rPr>
          <w:rFonts w:asciiTheme="majorHAnsi" w:hAnsiTheme="majorHAnsi" w:cstheme="majorHAnsi"/>
          <w:b/>
          <w:i/>
          <w:iCs/>
          <w:color w:val="000000"/>
          <w:lang w:val="ro-RO"/>
        </w:rPr>
        <w:t>galitate în proiectul de lege nr. 361/202</w:t>
      </w:r>
      <w:r w:rsidRPr="00CB72F9">
        <w:rPr>
          <w:rFonts w:asciiTheme="majorHAnsi" w:hAnsiTheme="majorHAnsi" w:cstheme="majorHAnsi"/>
          <w:b/>
          <w:i/>
          <w:iCs/>
          <w:lang w:val="ro-RO"/>
        </w:rPr>
        <w:t xml:space="preserve">4 </w:t>
      </w:r>
      <w:hyperlink r:id="rId17">
        <w:r w:rsidRPr="00CB72F9">
          <w:rPr>
            <w:rFonts w:asciiTheme="majorHAnsi" w:hAnsiTheme="majorHAnsi" w:cstheme="majorHAnsi"/>
            <w:b/>
            <w:i/>
            <w:iCs/>
            <w:lang w:val="ro-RO"/>
          </w:rPr>
          <w:t>pentru modificarea Legii nr. 270/2018 privind sistemul unitar de salarizare în sectorul bugeta</w:t>
        </w:r>
      </w:hyperlink>
      <w:r w:rsidRPr="00CB72F9">
        <w:rPr>
          <w:rFonts w:asciiTheme="majorHAnsi" w:hAnsiTheme="majorHAnsi" w:cstheme="majorHAnsi"/>
          <w:b/>
          <w:i/>
          <w:iCs/>
          <w:lang w:val="ro-RO"/>
        </w:rPr>
        <w:t xml:space="preserve">r, </w:t>
      </w:r>
      <w:r w:rsidRPr="00CB72F9">
        <w:rPr>
          <w:rFonts w:asciiTheme="majorHAnsi" w:hAnsiTheme="majorHAnsi" w:cstheme="majorHAnsi"/>
          <w:b/>
          <w:i/>
          <w:iCs/>
          <w:color w:val="000000"/>
          <w:lang w:val="ro-RO"/>
        </w:rPr>
        <w:t>alături de Oficiul Avocatului Poporului.</w:t>
      </w:r>
    </w:p>
    <w:p w:rsidR="00F115A4" w:rsidRPr="00CB72F9" w:rsidRDefault="00F115A4" w:rsidP="00CB72F9">
      <w:pPr>
        <w:numPr>
          <w:ilvl w:val="0"/>
          <w:numId w:val="7"/>
        </w:numPr>
        <w:pBdr>
          <w:top w:val="nil"/>
          <w:left w:val="nil"/>
          <w:bottom w:val="nil"/>
          <w:right w:val="nil"/>
          <w:between w:val="nil"/>
        </w:pBdr>
        <w:suppressAutoHyphens w:val="0"/>
        <w:spacing w:line="240" w:lineRule="auto"/>
        <w:ind w:leftChars="0" w:left="0" w:firstLineChars="0" w:firstLine="284"/>
        <w:jc w:val="both"/>
        <w:textDirection w:val="lrTb"/>
        <w:textAlignment w:val="auto"/>
        <w:outlineLvl w:val="9"/>
        <w:rPr>
          <w:rFonts w:asciiTheme="majorHAnsi" w:hAnsiTheme="majorHAnsi" w:cstheme="majorHAnsi"/>
          <w:i/>
          <w:iCs/>
          <w:color w:val="000000"/>
          <w:lang w:val="ro-RO"/>
        </w:rPr>
      </w:pPr>
      <w:r w:rsidRPr="00CB72F9">
        <w:rPr>
          <w:rFonts w:asciiTheme="majorHAnsi" w:hAnsiTheme="majorHAnsi" w:cstheme="majorHAnsi"/>
          <w:b/>
          <w:i/>
          <w:iCs/>
          <w:color w:val="000000"/>
          <w:lang w:val="ro-RO"/>
        </w:rPr>
        <w:t xml:space="preserve">Alocarea de fonduri suplimentare în </w:t>
      </w:r>
      <w:hyperlink r:id="rId18">
        <w:r w:rsidRPr="00CB72F9">
          <w:rPr>
            <w:rFonts w:asciiTheme="majorHAnsi" w:hAnsiTheme="majorHAnsi" w:cstheme="majorHAnsi"/>
            <w:b/>
            <w:i/>
            <w:iCs/>
            <w:lang w:val="ro-RO"/>
          </w:rPr>
          <w:t>proiectul legii bugetului pentru 2025</w:t>
        </w:r>
      </w:hyperlink>
      <w:r w:rsidRPr="00CB72F9">
        <w:rPr>
          <w:rFonts w:asciiTheme="majorHAnsi" w:hAnsiTheme="majorHAnsi" w:cstheme="majorHAnsi"/>
          <w:b/>
          <w:i/>
          <w:iCs/>
          <w:lang w:val="ro-RO"/>
        </w:rPr>
        <w:t xml:space="preserve">, </w:t>
      </w:r>
      <w:r w:rsidRPr="00CB72F9">
        <w:rPr>
          <w:rFonts w:asciiTheme="majorHAnsi" w:hAnsiTheme="majorHAnsi" w:cstheme="majorHAnsi"/>
          <w:b/>
          <w:i/>
          <w:iCs/>
          <w:color w:val="000000"/>
          <w:lang w:val="ro-RO"/>
        </w:rPr>
        <w:t>pentru:</w:t>
      </w:r>
    </w:p>
    <w:p w:rsidR="00F115A4" w:rsidRPr="00CB72F9" w:rsidRDefault="00F115A4" w:rsidP="00CB72F9">
      <w:pPr>
        <w:numPr>
          <w:ilvl w:val="0"/>
          <w:numId w:val="5"/>
        </w:numPr>
        <w:pBdr>
          <w:top w:val="nil"/>
          <w:left w:val="nil"/>
          <w:bottom w:val="nil"/>
          <w:right w:val="nil"/>
          <w:between w:val="nil"/>
        </w:pBdr>
        <w:suppressAutoHyphens w:val="0"/>
        <w:spacing w:after="0" w:line="240" w:lineRule="auto"/>
        <w:ind w:leftChars="0" w:left="1134" w:firstLineChars="0" w:hanging="283"/>
        <w:jc w:val="both"/>
        <w:textDirection w:val="lrTb"/>
        <w:textAlignment w:val="auto"/>
        <w:outlineLvl w:val="9"/>
        <w:rPr>
          <w:rFonts w:asciiTheme="majorHAnsi" w:hAnsiTheme="majorHAnsi" w:cstheme="majorHAnsi"/>
          <w:i/>
          <w:iCs/>
          <w:color w:val="000000"/>
          <w:lang w:val="ro-RO"/>
        </w:rPr>
      </w:pPr>
      <w:r w:rsidRPr="00CB72F9">
        <w:rPr>
          <w:rFonts w:asciiTheme="majorHAnsi" w:hAnsiTheme="majorHAnsi" w:cstheme="majorHAnsi"/>
          <w:i/>
          <w:iCs/>
          <w:lang w:val="ro-RO"/>
        </w:rPr>
        <w:t xml:space="preserve">Creșterea </w:t>
      </w:r>
      <w:r w:rsidRPr="00CB72F9">
        <w:rPr>
          <w:rFonts w:asciiTheme="majorHAnsi" w:hAnsiTheme="majorHAnsi" w:cstheme="majorHAnsi"/>
          <w:i/>
          <w:iCs/>
          <w:color w:val="000000"/>
          <w:lang w:val="ro-RO"/>
        </w:rPr>
        <w:t>salariilor personalului Consiliului la un nivel competitiv;</w:t>
      </w:r>
    </w:p>
    <w:p w:rsidR="00F115A4" w:rsidRPr="00CB72F9" w:rsidRDefault="00F115A4" w:rsidP="00CB72F9">
      <w:pPr>
        <w:numPr>
          <w:ilvl w:val="0"/>
          <w:numId w:val="5"/>
        </w:numPr>
        <w:pBdr>
          <w:top w:val="nil"/>
          <w:left w:val="nil"/>
          <w:bottom w:val="nil"/>
          <w:right w:val="nil"/>
          <w:between w:val="nil"/>
        </w:pBdr>
        <w:suppressAutoHyphens w:val="0"/>
        <w:spacing w:after="0" w:line="240" w:lineRule="auto"/>
        <w:ind w:leftChars="0" w:left="1134" w:firstLineChars="0" w:hanging="283"/>
        <w:jc w:val="both"/>
        <w:textDirection w:val="lrTb"/>
        <w:textAlignment w:val="auto"/>
        <w:outlineLvl w:val="9"/>
        <w:rPr>
          <w:rFonts w:asciiTheme="majorHAnsi" w:hAnsiTheme="majorHAnsi" w:cstheme="majorHAnsi"/>
          <w:i/>
          <w:iCs/>
          <w:color w:val="000000"/>
          <w:lang w:val="ro-RO"/>
        </w:rPr>
      </w:pPr>
      <w:r w:rsidRPr="00CB72F9">
        <w:rPr>
          <w:rFonts w:asciiTheme="majorHAnsi" w:hAnsiTheme="majorHAnsi" w:cstheme="majorHAnsi"/>
          <w:i/>
          <w:iCs/>
          <w:color w:val="000000"/>
          <w:lang w:val="ro-RO"/>
        </w:rPr>
        <w:t>Plata cumulului de funcții proporțional cu volumul suplimentar de muncă;</w:t>
      </w:r>
    </w:p>
    <w:p w:rsidR="00F115A4" w:rsidRDefault="00F115A4" w:rsidP="00CB72F9">
      <w:pPr>
        <w:numPr>
          <w:ilvl w:val="0"/>
          <w:numId w:val="5"/>
        </w:numPr>
        <w:pBdr>
          <w:top w:val="nil"/>
          <w:left w:val="nil"/>
          <w:bottom w:val="nil"/>
          <w:right w:val="nil"/>
          <w:between w:val="nil"/>
        </w:pBdr>
        <w:suppressAutoHyphens w:val="0"/>
        <w:spacing w:line="240" w:lineRule="auto"/>
        <w:ind w:leftChars="0" w:left="1134" w:firstLineChars="0" w:hanging="283"/>
        <w:jc w:val="both"/>
        <w:textDirection w:val="lrTb"/>
        <w:textAlignment w:val="auto"/>
        <w:outlineLvl w:val="9"/>
        <w:rPr>
          <w:rFonts w:asciiTheme="majorHAnsi" w:hAnsiTheme="majorHAnsi" w:cstheme="majorHAnsi"/>
          <w:color w:val="000000"/>
          <w:lang w:val="ro-RO"/>
        </w:rPr>
      </w:pPr>
      <w:r w:rsidRPr="00CB72F9">
        <w:rPr>
          <w:rFonts w:asciiTheme="majorHAnsi" w:hAnsiTheme="majorHAnsi" w:cstheme="majorHAnsi"/>
          <w:i/>
          <w:iCs/>
          <w:color w:val="000000"/>
          <w:lang w:val="ro-RO"/>
        </w:rPr>
        <w:t>Alocarea resurselor suficiente pentru remunerarea membrilor Consiliului, evitând întârzierile recurente</w:t>
      </w:r>
      <w:r w:rsidRPr="00CB72F9">
        <w:rPr>
          <w:rFonts w:asciiTheme="majorHAnsi" w:hAnsiTheme="majorHAnsi" w:cstheme="majorHAnsi"/>
          <w:color w:val="000000"/>
          <w:lang w:val="ro-RO"/>
        </w:rPr>
        <w:t>.</w:t>
      </w:r>
    </w:p>
    <w:p w:rsidR="00CB72F9" w:rsidRPr="00CB72F9" w:rsidRDefault="00CB72F9" w:rsidP="00CB72F9">
      <w:pPr>
        <w:pBdr>
          <w:top w:val="nil"/>
          <w:left w:val="nil"/>
          <w:bottom w:val="nil"/>
          <w:right w:val="nil"/>
          <w:between w:val="nil"/>
        </w:pBdr>
        <w:suppressAutoHyphens w:val="0"/>
        <w:spacing w:line="240" w:lineRule="auto"/>
        <w:ind w:leftChars="0" w:left="1134" w:firstLineChars="0" w:firstLine="0"/>
        <w:jc w:val="both"/>
        <w:textDirection w:val="lrTb"/>
        <w:textAlignment w:val="auto"/>
        <w:outlineLvl w:val="9"/>
        <w:rPr>
          <w:rFonts w:asciiTheme="majorHAnsi" w:hAnsiTheme="majorHAnsi" w:cstheme="majorHAnsi"/>
          <w:color w:val="000000"/>
          <w:lang w:val="ro-RO"/>
        </w:rPr>
      </w:pPr>
    </w:p>
    <w:p w:rsidR="00F115A4" w:rsidRPr="00CB72F9" w:rsidRDefault="00F115A4" w:rsidP="00CB72F9">
      <w:pPr>
        <w:pBdr>
          <w:top w:val="nil"/>
          <w:left w:val="nil"/>
          <w:bottom w:val="nil"/>
          <w:right w:val="nil"/>
          <w:between w:val="nil"/>
        </w:pBdr>
        <w:spacing w:after="0" w:line="240" w:lineRule="auto"/>
        <w:ind w:left="0" w:hanging="2"/>
        <w:jc w:val="both"/>
        <w:rPr>
          <w:rFonts w:asciiTheme="majorHAnsi" w:hAnsiTheme="majorHAnsi" w:cstheme="majorHAnsi"/>
          <w:b/>
          <w:bCs/>
          <w:lang w:val="ro-RO"/>
        </w:rPr>
      </w:pPr>
      <w:r w:rsidRPr="00CB72F9">
        <w:rPr>
          <w:rFonts w:asciiTheme="majorHAnsi" w:hAnsiTheme="majorHAnsi" w:cstheme="majorHAnsi"/>
          <w:b/>
          <w:bCs/>
          <w:lang w:val="ro-RO"/>
        </w:rPr>
        <w:t xml:space="preserve">Organizații semnatare: </w:t>
      </w:r>
    </w:p>
    <w:p w:rsidR="008704EE" w:rsidRPr="008704EE" w:rsidRDefault="008704EE" w:rsidP="008704EE">
      <w:pPr>
        <w:ind w:left="0" w:hanging="2"/>
        <w:rPr>
          <w:rFonts w:asciiTheme="majorHAnsi" w:hAnsiTheme="majorHAnsi" w:cstheme="majorHAnsi"/>
        </w:rPr>
      </w:pPr>
      <w:r w:rsidRPr="008704EE">
        <w:rPr>
          <w:rFonts w:asciiTheme="majorHAnsi" w:hAnsiTheme="majorHAnsi" w:cstheme="majorHAnsi"/>
        </w:rPr>
        <w:t>Organizațiisemnatare: </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CoalițiapentruIncluziuneșiNediscriminare</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Asociația „Promo-LEX”</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Centrul de ResurseJuridice din Moldova (CRJM)</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A.O. CentrulParteneriatpentruDezvoltare (CPD)</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A.O. Centrul de Informaţii „GENDERDOC-M”</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Ana Furtună</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A.O. Asociația de Reabilitare a Invalizilor din RM</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A.O. ConsiliulNațional al Tineretului din Moldova (CNTM)</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A.O. CentrulpentruDrepturilePersoanelor cu Dizabilități (CDPD)</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AsociațiaNațională a MediatorilorComunitari din R.M.</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Alianța Organizațiilor pentruPersoane cu Dizabilități (AOPD)</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A.O. Keystone Moldova</w:t>
      </w:r>
    </w:p>
    <w:p w:rsidR="008704EE" w:rsidRPr="008704EE" w:rsidRDefault="00A6256F" w:rsidP="008704EE">
      <w:pPr>
        <w:numPr>
          <w:ilvl w:val="0"/>
          <w:numId w:val="9"/>
        </w:numPr>
        <w:ind w:left="0" w:hanging="2"/>
        <w:rPr>
          <w:rFonts w:asciiTheme="majorHAnsi" w:hAnsiTheme="majorHAnsi" w:cstheme="majorHAnsi"/>
        </w:rPr>
      </w:pPr>
      <w:hyperlink r:id="rId19" w:history="1">
        <w:r w:rsidR="008704EE" w:rsidRPr="008704EE">
          <w:rPr>
            <w:rStyle w:val="a4"/>
            <w:rFonts w:asciiTheme="majorHAnsi" w:hAnsiTheme="majorHAnsi" w:cstheme="majorHAnsi"/>
          </w:rPr>
          <w:t>A.O. InițiativaPozitivă</w:t>
        </w:r>
      </w:hyperlink>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A.O. InstitutulpentruDrepturileOmului (IDOM)</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 CentrulpentruDrepturileRomilor</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AsociațiaObștească ”Azi”, Cahul</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A.O. „Pas cu Pas”, regiunea Sud</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A.O. „Părințisolidari”</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Alina Calugher</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CongresulNațional al Ucrainenilor din Moldova</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lastRenderedPageBreak/>
        <w:t>Centrul de AsistențăSocială „Casa Speranțelor”</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A.O. „AB INITIO-PENTRU O SOCIETATE PROSPERĂ”</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Centrul de JustițieSocială ECHITATE</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Elena Rățoi</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A.O. RCTV Memoria </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Institutul de Reforme Penale (IRP)</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A.O. „FiecareContribuiepentruSchimbare”</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A.O.InstitutulpentruFamilieșiInițiativeSociale</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Millennium Partners</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Uniuneaorganizaţiilorinvalizilor din Republica Moldova </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Centru de PoliticișiReforme</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AsociațiaPresei Independente (API)</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A.O. „Help” </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CentrulNațional de Formare, Asistență, ConsiliereșiEducație din Moldova (CNFACEM)</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A.O. Centrul de Suport Juridic</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A.O. Centrul de InformareșiDocumentareprivindDrepturileCopilului (CIDDC)</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A.O. ClinicaJuridică, mun. Bălți</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A.O. Interacțiune</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CentrulpentruDrepturilepersoanelor cu Dizabilități</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A.O. ARIM </w:t>
      </w:r>
    </w:p>
    <w:p w:rsidR="008704EE" w:rsidRP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A.O. „Artemida”</w:t>
      </w:r>
    </w:p>
    <w:p w:rsidR="008704EE" w:rsidRDefault="008704EE" w:rsidP="008704EE">
      <w:pPr>
        <w:numPr>
          <w:ilvl w:val="0"/>
          <w:numId w:val="9"/>
        </w:numPr>
        <w:ind w:left="0" w:hanging="2"/>
        <w:rPr>
          <w:rFonts w:asciiTheme="majorHAnsi" w:hAnsiTheme="majorHAnsi" w:cstheme="majorHAnsi"/>
        </w:rPr>
      </w:pPr>
      <w:r w:rsidRPr="008704EE">
        <w:rPr>
          <w:rFonts w:asciiTheme="majorHAnsi" w:hAnsiTheme="majorHAnsi" w:cstheme="majorHAnsi"/>
        </w:rPr>
        <w:t>A.O. ClinicaJuridică Comrat</w:t>
      </w:r>
    </w:p>
    <w:p w:rsidR="008704EE" w:rsidRPr="008704EE" w:rsidRDefault="008704EE" w:rsidP="008704EE">
      <w:pPr>
        <w:numPr>
          <w:ilvl w:val="0"/>
          <w:numId w:val="9"/>
        </w:numPr>
        <w:ind w:left="0" w:hanging="2"/>
        <w:rPr>
          <w:rFonts w:asciiTheme="majorHAnsi" w:hAnsiTheme="majorHAnsi" w:cstheme="majorHAnsi"/>
        </w:rPr>
      </w:pPr>
      <w:r>
        <w:rPr>
          <w:rFonts w:asciiTheme="majorHAnsi" w:hAnsiTheme="majorHAnsi" w:cstheme="majorHAnsi"/>
        </w:rPr>
        <w:t>Pavel Cazacu</w:t>
      </w:r>
    </w:p>
    <w:p w:rsidR="008704EE" w:rsidRPr="008704EE" w:rsidRDefault="008704EE" w:rsidP="008704EE">
      <w:pPr>
        <w:ind w:left="0" w:hanging="2"/>
        <w:rPr>
          <w:rFonts w:asciiTheme="majorHAnsi" w:hAnsiTheme="majorHAnsi" w:cstheme="majorHAnsi"/>
        </w:rPr>
      </w:pPr>
      <w:r w:rsidRPr="008704EE">
        <w:rPr>
          <w:rFonts w:asciiTheme="majorHAnsi" w:hAnsiTheme="majorHAnsi" w:cstheme="majorHAnsi"/>
          <w:b/>
          <w:bCs/>
        </w:rPr>
        <w:t>Apelul este deschis pentru subsemnare! </w:t>
      </w:r>
      <w:r w:rsidRPr="008704EE">
        <w:rPr>
          <w:rFonts w:asciiTheme="majorHAnsi" w:hAnsiTheme="majorHAnsi" w:cstheme="majorHAnsi"/>
          <w:i/>
          <w:iCs/>
        </w:rPr>
        <w:t>E-mail: </w:t>
      </w:r>
      <w:r w:rsidRPr="008704EE">
        <w:rPr>
          <w:rFonts w:asciiTheme="majorHAnsi" w:hAnsiTheme="majorHAnsi" w:cstheme="majorHAnsi"/>
        </w:rPr>
        <w:t>secretariat.cin@gmail.com</w:t>
      </w:r>
    </w:p>
    <w:p w:rsidR="006E1CFE" w:rsidRPr="008704EE" w:rsidRDefault="006E1CFE" w:rsidP="006E1CFE">
      <w:pPr>
        <w:ind w:left="0" w:hanging="2"/>
        <w:rPr>
          <w:rFonts w:asciiTheme="majorHAnsi" w:hAnsiTheme="majorHAnsi" w:cstheme="majorHAnsi"/>
        </w:rPr>
      </w:pPr>
    </w:p>
    <w:p w:rsidR="006E1CFE" w:rsidRDefault="006E1CFE" w:rsidP="006E1CFE">
      <w:pPr>
        <w:ind w:left="0" w:hanging="2"/>
        <w:rPr>
          <w:rFonts w:asciiTheme="majorHAnsi" w:hAnsiTheme="majorHAnsi" w:cstheme="majorHAnsi"/>
          <w:color w:val="333333"/>
          <w:lang w:val="ro-RO"/>
        </w:rPr>
      </w:pPr>
    </w:p>
    <w:p w:rsidR="006E1CFE" w:rsidRPr="006E1CFE" w:rsidRDefault="006E1CFE" w:rsidP="006E1CFE">
      <w:pPr>
        <w:ind w:left="0" w:hanging="2"/>
        <w:jc w:val="center"/>
        <w:rPr>
          <w:rFonts w:asciiTheme="majorHAnsi" w:hAnsiTheme="majorHAnsi" w:cstheme="majorHAnsi"/>
          <w:lang w:val="ro-RO"/>
        </w:rPr>
      </w:pPr>
    </w:p>
    <w:sectPr w:rsidR="006E1CFE" w:rsidRPr="006E1CFE" w:rsidSect="00F51FB6">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BD0" w:rsidRDefault="00EF1BD0">
      <w:pPr>
        <w:spacing w:after="0" w:line="240" w:lineRule="auto"/>
        <w:ind w:left="0" w:hanging="2"/>
      </w:pPr>
      <w:r>
        <w:separator/>
      </w:r>
    </w:p>
  </w:endnote>
  <w:endnote w:type="continuationSeparator" w:id="1">
    <w:p w:rsidR="00EF1BD0" w:rsidRDefault="00EF1BD0">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B6" w:rsidRDefault="00F51FB6">
    <w:pPr>
      <w:pStyle w:val="af6"/>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B6" w:rsidRDefault="00F51FB6">
    <w:pPr>
      <w:pStyle w:val="af6"/>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B6" w:rsidRDefault="00F51FB6">
    <w:pPr>
      <w:pStyle w:val="af6"/>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BD0" w:rsidRDefault="00EF1BD0">
      <w:pPr>
        <w:spacing w:after="0" w:line="240" w:lineRule="auto"/>
        <w:ind w:left="0" w:hanging="2"/>
      </w:pPr>
      <w:r>
        <w:separator/>
      </w:r>
    </w:p>
  </w:footnote>
  <w:footnote w:type="continuationSeparator" w:id="1">
    <w:p w:rsidR="00EF1BD0" w:rsidRDefault="00EF1BD0">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B6" w:rsidRDefault="00F51FB6">
    <w:pPr>
      <w:pStyle w:val="af4"/>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BE6" w:rsidRDefault="00674BE6">
    <w:pPr>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B6" w:rsidRDefault="00F51FB6" w:rsidP="00F51FB6">
    <w:pPr>
      <w:pStyle w:val="af4"/>
      <w:ind w:left="0" w:hanging="2"/>
    </w:pPr>
    <w:r>
      <w:rPr>
        <w:noProof/>
        <w:lang w:val="ru-RU" w:eastAsia="ru-RU"/>
      </w:rPr>
      <w:drawing>
        <wp:anchor distT="0" distB="0" distL="114300" distR="114300" simplePos="0" relativeHeight="251659264" behindDoc="0" locked="0" layoutInCell="1" allowOverlap="1">
          <wp:simplePos x="0" y="0"/>
          <wp:positionH relativeFrom="margin">
            <wp:posOffset>2226310</wp:posOffset>
          </wp:positionH>
          <wp:positionV relativeFrom="paragraph">
            <wp:posOffset>-499110</wp:posOffset>
          </wp:positionV>
          <wp:extent cx="1354455" cy="135445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IN.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54455" cy="1354455"/>
                  </a:xfrm>
                  <a:prstGeom prst="rect">
                    <a:avLst/>
                  </a:prstGeom>
                </pic:spPr>
              </pic:pic>
            </a:graphicData>
          </a:graphic>
        </wp:anchor>
      </w:drawing>
    </w:r>
  </w:p>
  <w:p w:rsidR="00F51FB6" w:rsidRDefault="00F51FB6">
    <w:pPr>
      <w:pStyle w:val="af4"/>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578E3"/>
    <w:multiLevelType w:val="multilevel"/>
    <w:tmpl w:val="F9DC0F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DD36E60"/>
    <w:multiLevelType w:val="multilevel"/>
    <w:tmpl w:val="392E0B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1EEA1D38"/>
    <w:multiLevelType w:val="multilevel"/>
    <w:tmpl w:val="2E4EBB8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nsid w:val="3D9E0F5F"/>
    <w:multiLevelType w:val="multilevel"/>
    <w:tmpl w:val="B21C5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8790520"/>
    <w:multiLevelType w:val="multilevel"/>
    <w:tmpl w:val="9F20008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3D73776"/>
    <w:multiLevelType w:val="multilevel"/>
    <w:tmpl w:val="45B0DFF8"/>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9A14847"/>
    <w:multiLevelType w:val="hybridMultilevel"/>
    <w:tmpl w:val="F95CFCEE"/>
    <w:lvl w:ilvl="0" w:tplc="0418000F">
      <w:start w:val="1"/>
      <w:numFmt w:val="decimal"/>
      <w:lvlText w:val="%1."/>
      <w:lvlJc w:val="left"/>
      <w:pPr>
        <w:ind w:left="718" w:hanging="360"/>
      </w:pPr>
    </w:lvl>
    <w:lvl w:ilvl="1" w:tplc="04180019" w:tentative="1">
      <w:start w:val="1"/>
      <w:numFmt w:val="lowerLetter"/>
      <w:lvlText w:val="%2."/>
      <w:lvlJc w:val="left"/>
      <w:pPr>
        <w:ind w:left="1438" w:hanging="360"/>
      </w:pPr>
    </w:lvl>
    <w:lvl w:ilvl="2" w:tplc="0418001B" w:tentative="1">
      <w:start w:val="1"/>
      <w:numFmt w:val="lowerRoman"/>
      <w:lvlText w:val="%3."/>
      <w:lvlJc w:val="right"/>
      <w:pPr>
        <w:ind w:left="2158" w:hanging="180"/>
      </w:pPr>
    </w:lvl>
    <w:lvl w:ilvl="3" w:tplc="0418000F" w:tentative="1">
      <w:start w:val="1"/>
      <w:numFmt w:val="decimal"/>
      <w:lvlText w:val="%4."/>
      <w:lvlJc w:val="left"/>
      <w:pPr>
        <w:ind w:left="2878" w:hanging="360"/>
      </w:pPr>
    </w:lvl>
    <w:lvl w:ilvl="4" w:tplc="04180019" w:tentative="1">
      <w:start w:val="1"/>
      <w:numFmt w:val="lowerLetter"/>
      <w:lvlText w:val="%5."/>
      <w:lvlJc w:val="left"/>
      <w:pPr>
        <w:ind w:left="3598" w:hanging="360"/>
      </w:pPr>
    </w:lvl>
    <w:lvl w:ilvl="5" w:tplc="0418001B" w:tentative="1">
      <w:start w:val="1"/>
      <w:numFmt w:val="lowerRoman"/>
      <w:lvlText w:val="%6."/>
      <w:lvlJc w:val="right"/>
      <w:pPr>
        <w:ind w:left="4318" w:hanging="180"/>
      </w:pPr>
    </w:lvl>
    <w:lvl w:ilvl="6" w:tplc="0418000F" w:tentative="1">
      <w:start w:val="1"/>
      <w:numFmt w:val="decimal"/>
      <w:lvlText w:val="%7."/>
      <w:lvlJc w:val="left"/>
      <w:pPr>
        <w:ind w:left="5038" w:hanging="360"/>
      </w:pPr>
    </w:lvl>
    <w:lvl w:ilvl="7" w:tplc="04180019" w:tentative="1">
      <w:start w:val="1"/>
      <w:numFmt w:val="lowerLetter"/>
      <w:lvlText w:val="%8."/>
      <w:lvlJc w:val="left"/>
      <w:pPr>
        <w:ind w:left="5758" w:hanging="360"/>
      </w:pPr>
    </w:lvl>
    <w:lvl w:ilvl="8" w:tplc="0418001B" w:tentative="1">
      <w:start w:val="1"/>
      <w:numFmt w:val="lowerRoman"/>
      <w:lvlText w:val="%9."/>
      <w:lvlJc w:val="right"/>
      <w:pPr>
        <w:ind w:left="6478" w:hanging="180"/>
      </w:pPr>
    </w:lvl>
  </w:abstractNum>
  <w:abstractNum w:abstractNumId="7">
    <w:nsid w:val="6B225581"/>
    <w:multiLevelType w:val="multilevel"/>
    <w:tmpl w:val="112AD1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72B261DC"/>
    <w:multiLevelType w:val="multilevel"/>
    <w:tmpl w:val="FA7E3B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2"/>
  </w:num>
  <w:num w:numId="3">
    <w:abstractNumId w:val="3"/>
  </w:num>
  <w:num w:numId="4">
    <w:abstractNumId w:val="6"/>
  </w:num>
  <w:num w:numId="5">
    <w:abstractNumId w:val="4"/>
  </w:num>
  <w:num w:numId="6">
    <w:abstractNumId w:val="1"/>
  </w:num>
  <w:num w:numId="7">
    <w:abstractNumId w:val="5"/>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20"/>
  <w:hyphenationZone w:val="425"/>
  <w:characterSpacingControl w:val="doNotCompress"/>
  <w:hdrShapeDefaults>
    <o:shapedefaults v:ext="edit" spidmax="4098"/>
  </w:hdrShapeDefaults>
  <w:footnotePr>
    <w:footnote w:id="0"/>
    <w:footnote w:id="1"/>
  </w:footnotePr>
  <w:endnotePr>
    <w:endnote w:id="0"/>
    <w:endnote w:id="1"/>
  </w:endnotePr>
  <w:compat/>
  <w:rsids>
    <w:rsidRoot w:val="00674BE6"/>
    <w:rsid w:val="00075E41"/>
    <w:rsid w:val="000E33E7"/>
    <w:rsid w:val="000E5EAB"/>
    <w:rsid w:val="00674BE6"/>
    <w:rsid w:val="006A54BF"/>
    <w:rsid w:val="006C7CE4"/>
    <w:rsid w:val="006E1CFE"/>
    <w:rsid w:val="0072397E"/>
    <w:rsid w:val="007B1B4F"/>
    <w:rsid w:val="008704EE"/>
    <w:rsid w:val="0089682F"/>
    <w:rsid w:val="0095014C"/>
    <w:rsid w:val="00A161F9"/>
    <w:rsid w:val="00A6256F"/>
    <w:rsid w:val="00B8138F"/>
    <w:rsid w:val="00CB72F9"/>
    <w:rsid w:val="00E87E86"/>
    <w:rsid w:val="00EF1BD0"/>
    <w:rsid w:val="00EF2AE5"/>
    <w:rsid w:val="00F115A4"/>
    <w:rsid w:val="00F51F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256F"/>
    <w:pPr>
      <w:suppressAutoHyphens/>
      <w:spacing w:after="160" w:line="259" w:lineRule="auto"/>
      <w:ind w:leftChars="-1" w:left="-1" w:hangingChars="1" w:hanging="1"/>
      <w:textDirection w:val="btLr"/>
      <w:textAlignment w:val="top"/>
      <w:outlineLvl w:val="0"/>
    </w:pPr>
    <w:rPr>
      <w:position w:val="-1"/>
      <w:sz w:val="22"/>
      <w:szCs w:val="22"/>
      <w:lang w:val="en-US" w:eastAsia="en-US"/>
    </w:rPr>
  </w:style>
  <w:style w:type="paragraph" w:styleId="1">
    <w:name w:val="heading 1"/>
    <w:basedOn w:val="a"/>
    <w:next w:val="a"/>
    <w:rsid w:val="00A6256F"/>
    <w:pPr>
      <w:keepNext/>
      <w:keepLines/>
      <w:spacing w:before="480" w:after="120"/>
    </w:pPr>
    <w:rPr>
      <w:b/>
      <w:sz w:val="48"/>
      <w:szCs w:val="48"/>
    </w:rPr>
  </w:style>
  <w:style w:type="paragraph" w:styleId="2">
    <w:name w:val="heading 2"/>
    <w:basedOn w:val="a"/>
    <w:next w:val="a"/>
    <w:rsid w:val="00A6256F"/>
    <w:pPr>
      <w:keepNext/>
      <w:keepLines/>
      <w:spacing w:before="360" w:after="80"/>
      <w:outlineLvl w:val="1"/>
    </w:pPr>
    <w:rPr>
      <w:b/>
      <w:sz w:val="36"/>
      <w:szCs w:val="36"/>
    </w:rPr>
  </w:style>
  <w:style w:type="paragraph" w:styleId="3">
    <w:name w:val="heading 3"/>
    <w:basedOn w:val="a"/>
    <w:next w:val="a"/>
    <w:rsid w:val="00A6256F"/>
    <w:pPr>
      <w:keepNext/>
      <w:keepLines/>
      <w:spacing w:before="280" w:after="80"/>
      <w:outlineLvl w:val="2"/>
    </w:pPr>
    <w:rPr>
      <w:b/>
      <w:sz w:val="28"/>
      <w:szCs w:val="28"/>
    </w:rPr>
  </w:style>
  <w:style w:type="paragraph" w:styleId="4">
    <w:name w:val="heading 4"/>
    <w:basedOn w:val="a"/>
    <w:next w:val="a"/>
    <w:rsid w:val="00A6256F"/>
    <w:pPr>
      <w:keepNext/>
      <w:keepLines/>
      <w:spacing w:before="240" w:after="40"/>
      <w:outlineLvl w:val="3"/>
    </w:pPr>
    <w:rPr>
      <w:b/>
      <w:sz w:val="24"/>
      <w:szCs w:val="24"/>
    </w:rPr>
  </w:style>
  <w:style w:type="paragraph" w:styleId="5">
    <w:name w:val="heading 5"/>
    <w:basedOn w:val="a"/>
    <w:next w:val="a"/>
    <w:rsid w:val="00A6256F"/>
    <w:pPr>
      <w:keepNext/>
      <w:keepLines/>
      <w:spacing w:before="220" w:after="40"/>
      <w:outlineLvl w:val="4"/>
    </w:pPr>
    <w:rPr>
      <w:b/>
    </w:rPr>
  </w:style>
  <w:style w:type="paragraph" w:styleId="6">
    <w:name w:val="heading 6"/>
    <w:basedOn w:val="a"/>
    <w:next w:val="a"/>
    <w:rsid w:val="00A6256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A6256F"/>
    <w:tblPr>
      <w:tblCellMar>
        <w:top w:w="0" w:type="dxa"/>
        <w:left w:w="0" w:type="dxa"/>
        <w:bottom w:w="0" w:type="dxa"/>
        <w:right w:w="0" w:type="dxa"/>
      </w:tblCellMar>
    </w:tblPr>
  </w:style>
  <w:style w:type="paragraph" w:styleId="a3">
    <w:name w:val="Title"/>
    <w:basedOn w:val="a"/>
    <w:next w:val="a"/>
    <w:rsid w:val="00A6256F"/>
    <w:pPr>
      <w:keepNext/>
      <w:keepLines/>
      <w:spacing w:before="480" w:after="120"/>
    </w:pPr>
    <w:rPr>
      <w:b/>
      <w:sz w:val="72"/>
      <w:szCs w:val="72"/>
    </w:rPr>
  </w:style>
  <w:style w:type="character" w:styleId="a4">
    <w:name w:val="Hyperlink"/>
    <w:qFormat/>
    <w:rsid w:val="00A6256F"/>
    <w:rPr>
      <w:color w:val="0563C1"/>
      <w:w w:val="100"/>
      <w:position w:val="-1"/>
      <w:u w:val="single"/>
      <w:effect w:val="none"/>
      <w:vertAlign w:val="baseline"/>
      <w:cs w:val="0"/>
      <w:em w:val="none"/>
    </w:rPr>
  </w:style>
  <w:style w:type="paragraph" w:styleId="a5">
    <w:name w:val="footnote text"/>
    <w:basedOn w:val="a"/>
    <w:qFormat/>
    <w:rsid w:val="00A6256F"/>
    <w:pPr>
      <w:spacing w:after="0" w:line="240" w:lineRule="auto"/>
    </w:pPr>
    <w:rPr>
      <w:sz w:val="20"/>
      <w:szCs w:val="20"/>
    </w:rPr>
  </w:style>
  <w:style w:type="character" w:customStyle="1" w:styleId="a6">
    <w:name w:val="Текст сноски Знак"/>
    <w:rsid w:val="00A6256F"/>
    <w:rPr>
      <w:rFonts w:ascii="Calibri" w:eastAsia="Calibri" w:hAnsi="Calibri" w:cs="Times New Roman"/>
      <w:w w:val="100"/>
      <w:position w:val="-1"/>
      <w:sz w:val="20"/>
      <w:szCs w:val="20"/>
      <w:effect w:val="none"/>
      <w:vertAlign w:val="baseline"/>
      <w:cs w:val="0"/>
      <w:em w:val="none"/>
      <w:lang w:val="en-US"/>
    </w:rPr>
  </w:style>
  <w:style w:type="character" w:styleId="a7">
    <w:name w:val="footnote reference"/>
    <w:qFormat/>
    <w:rsid w:val="00A6256F"/>
    <w:rPr>
      <w:w w:val="100"/>
      <w:position w:val="-1"/>
      <w:effect w:val="none"/>
      <w:vertAlign w:val="superscript"/>
      <w:cs w:val="0"/>
      <w:em w:val="none"/>
    </w:rPr>
  </w:style>
  <w:style w:type="character" w:styleId="a8">
    <w:name w:val="annotation reference"/>
    <w:qFormat/>
    <w:rsid w:val="00A6256F"/>
    <w:rPr>
      <w:w w:val="100"/>
      <w:position w:val="-1"/>
      <w:sz w:val="16"/>
      <w:szCs w:val="16"/>
      <w:effect w:val="none"/>
      <w:vertAlign w:val="baseline"/>
      <w:cs w:val="0"/>
      <w:em w:val="none"/>
    </w:rPr>
  </w:style>
  <w:style w:type="paragraph" w:styleId="a9">
    <w:name w:val="annotation text"/>
    <w:basedOn w:val="a"/>
    <w:qFormat/>
    <w:rsid w:val="00A6256F"/>
    <w:rPr>
      <w:sz w:val="20"/>
      <w:szCs w:val="20"/>
    </w:rPr>
  </w:style>
  <w:style w:type="character" w:customStyle="1" w:styleId="aa">
    <w:name w:val="Текст примечания Знак"/>
    <w:basedOn w:val="a0"/>
    <w:rsid w:val="00A6256F"/>
    <w:rPr>
      <w:w w:val="100"/>
      <w:position w:val="-1"/>
      <w:effect w:val="none"/>
      <w:vertAlign w:val="baseline"/>
      <w:cs w:val="0"/>
      <w:em w:val="none"/>
    </w:rPr>
  </w:style>
  <w:style w:type="paragraph" w:styleId="ab">
    <w:name w:val="annotation subject"/>
    <w:basedOn w:val="a9"/>
    <w:next w:val="a9"/>
    <w:qFormat/>
    <w:rsid w:val="00A6256F"/>
    <w:rPr>
      <w:b/>
      <w:bCs/>
    </w:rPr>
  </w:style>
  <w:style w:type="character" w:customStyle="1" w:styleId="ac">
    <w:name w:val="Тема примечания Знак"/>
    <w:rsid w:val="00A6256F"/>
    <w:rPr>
      <w:b/>
      <w:bCs/>
      <w:w w:val="100"/>
      <w:position w:val="-1"/>
      <w:effect w:val="none"/>
      <w:vertAlign w:val="baseline"/>
      <w:cs w:val="0"/>
      <w:em w:val="none"/>
    </w:rPr>
  </w:style>
  <w:style w:type="paragraph" w:styleId="ad">
    <w:name w:val="Balloon Text"/>
    <w:basedOn w:val="a"/>
    <w:qFormat/>
    <w:rsid w:val="00A6256F"/>
    <w:pPr>
      <w:spacing w:after="0" w:line="240" w:lineRule="auto"/>
    </w:pPr>
    <w:rPr>
      <w:rFonts w:ascii="Segoe UI" w:hAnsi="Segoe UI" w:cs="Segoe UI"/>
      <w:sz w:val="18"/>
      <w:szCs w:val="18"/>
    </w:rPr>
  </w:style>
  <w:style w:type="character" w:customStyle="1" w:styleId="ae">
    <w:name w:val="Текст выноски Знак"/>
    <w:rsid w:val="00A6256F"/>
    <w:rPr>
      <w:rFonts w:ascii="Segoe UI" w:hAnsi="Segoe UI" w:cs="Segoe UI"/>
      <w:w w:val="100"/>
      <w:position w:val="-1"/>
      <w:sz w:val="18"/>
      <w:szCs w:val="18"/>
      <w:effect w:val="none"/>
      <w:vertAlign w:val="baseline"/>
      <w:cs w:val="0"/>
      <w:em w:val="none"/>
    </w:rPr>
  </w:style>
  <w:style w:type="character" w:styleId="af">
    <w:name w:val="FollowedHyperlink"/>
    <w:qFormat/>
    <w:rsid w:val="00A6256F"/>
    <w:rPr>
      <w:color w:val="954F72"/>
      <w:w w:val="100"/>
      <w:position w:val="-1"/>
      <w:u w:val="single"/>
      <w:effect w:val="none"/>
      <w:vertAlign w:val="baseline"/>
      <w:cs w:val="0"/>
      <w:em w:val="none"/>
    </w:rPr>
  </w:style>
  <w:style w:type="paragraph" w:styleId="af0">
    <w:name w:val="Normal (Web)"/>
    <w:basedOn w:val="a"/>
    <w:qFormat/>
    <w:rsid w:val="00A6256F"/>
    <w:pPr>
      <w:spacing w:before="100" w:beforeAutospacing="1" w:after="100" w:afterAutospacing="1" w:line="240" w:lineRule="auto"/>
    </w:pPr>
    <w:rPr>
      <w:rFonts w:ascii="Times New Roman" w:eastAsia="Times New Roman" w:hAnsi="Times New Roman"/>
      <w:sz w:val="24"/>
      <w:szCs w:val="24"/>
      <w:lang w:val="ro-RO" w:eastAsia="ro-RO"/>
    </w:rPr>
  </w:style>
  <w:style w:type="character" w:styleId="af1">
    <w:name w:val="Strong"/>
    <w:rsid w:val="00A6256F"/>
    <w:rPr>
      <w:b/>
      <w:bCs/>
      <w:w w:val="100"/>
      <w:position w:val="-1"/>
      <w:effect w:val="none"/>
      <w:vertAlign w:val="baseline"/>
      <w:cs w:val="0"/>
      <w:em w:val="none"/>
    </w:rPr>
  </w:style>
  <w:style w:type="character" w:styleId="af2">
    <w:name w:val="Emphasis"/>
    <w:rsid w:val="00A6256F"/>
    <w:rPr>
      <w:i/>
      <w:iCs/>
      <w:w w:val="100"/>
      <w:position w:val="-1"/>
      <w:effect w:val="none"/>
      <w:vertAlign w:val="baseline"/>
      <w:cs w:val="0"/>
      <w:em w:val="none"/>
    </w:rPr>
  </w:style>
  <w:style w:type="paragraph" w:customStyle="1" w:styleId="Heading2sj">
    <w:name w:val="Абзац списка;Heading 2_sj"/>
    <w:basedOn w:val="a"/>
    <w:rsid w:val="00A6256F"/>
    <w:pPr>
      <w:ind w:left="720"/>
      <w:contextualSpacing/>
    </w:pPr>
  </w:style>
  <w:style w:type="character" w:customStyle="1" w:styleId="Heading2sj0">
    <w:name w:val="Абзац списка Знак;Heading 2_sj Знак"/>
    <w:rsid w:val="00A6256F"/>
    <w:rPr>
      <w:w w:val="100"/>
      <w:position w:val="-1"/>
      <w:sz w:val="22"/>
      <w:szCs w:val="22"/>
      <w:effect w:val="none"/>
      <w:vertAlign w:val="baseline"/>
      <w:cs w:val="0"/>
      <w:em w:val="none"/>
      <w:lang w:val="en-US" w:eastAsia="en-US"/>
    </w:rPr>
  </w:style>
  <w:style w:type="paragraph" w:customStyle="1" w:styleId="Default">
    <w:name w:val="Default"/>
    <w:rsid w:val="00A6256F"/>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af3">
    <w:name w:val="Subtitle"/>
    <w:basedOn w:val="a"/>
    <w:next w:val="a"/>
    <w:rsid w:val="00A6256F"/>
    <w:pPr>
      <w:keepNext/>
      <w:keepLines/>
      <w:spacing w:before="360" w:after="80"/>
    </w:pPr>
    <w:rPr>
      <w:rFonts w:ascii="Georgia" w:eastAsia="Georgia" w:hAnsi="Georgia" w:cs="Georgia"/>
      <w:i/>
      <w:color w:val="666666"/>
      <w:sz w:val="48"/>
      <w:szCs w:val="48"/>
    </w:rPr>
  </w:style>
  <w:style w:type="paragraph" w:styleId="af4">
    <w:name w:val="header"/>
    <w:basedOn w:val="a"/>
    <w:link w:val="af5"/>
    <w:uiPriority w:val="99"/>
    <w:unhideWhenUsed/>
    <w:rsid w:val="00F51FB6"/>
    <w:pPr>
      <w:tabs>
        <w:tab w:val="center" w:pos="4536"/>
        <w:tab w:val="right" w:pos="9072"/>
      </w:tabs>
      <w:spacing w:after="0" w:line="240" w:lineRule="auto"/>
    </w:pPr>
  </w:style>
  <w:style w:type="character" w:customStyle="1" w:styleId="af5">
    <w:name w:val="Верхний колонтитул Знак"/>
    <w:basedOn w:val="a0"/>
    <w:link w:val="af4"/>
    <w:uiPriority w:val="99"/>
    <w:rsid w:val="00F51FB6"/>
    <w:rPr>
      <w:position w:val="-1"/>
      <w:sz w:val="22"/>
      <w:szCs w:val="22"/>
      <w:lang w:val="en-US" w:eastAsia="en-US"/>
    </w:rPr>
  </w:style>
  <w:style w:type="paragraph" w:styleId="af6">
    <w:name w:val="footer"/>
    <w:basedOn w:val="a"/>
    <w:link w:val="af7"/>
    <w:uiPriority w:val="99"/>
    <w:unhideWhenUsed/>
    <w:rsid w:val="00F51FB6"/>
    <w:pPr>
      <w:tabs>
        <w:tab w:val="center" w:pos="4536"/>
        <w:tab w:val="right" w:pos="9072"/>
      </w:tabs>
      <w:spacing w:after="0" w:line="240" w:lineRule="auto"/>
    </w:pPr>
  </w:style>
  <w:style w:type="character" w:customStyle="1" w:styleId="af7">
    <w:name w:val="Нижний колонтитул Знак"/>
    <w:basedOn w:val="a0"/>
    <w:link w:val="af6"/>
    <w:uiPriority w:val="99"/>
    <w:rsid w:val="00F51FB6"/>
    <w:rPr>
      <w:position w:val="-1"/>
      <w:sz w:val="22"/>
      <w:szCs w:val="22"/>
      <w:lang w:val="en-US" w:eastAsia="en-US"/>
    </w:rPr>
  </w:style>
  <w:style w:type="paragraph" w:styleId="af8">
    <w:name w:val="List Paragraph"/>
    <w:basedOn w:val="a"/>
    <w:uiPriority w:val="34"/>
    <w:qFormat/>
    <w:rsid w:val="00F51FB6"/>
    <w:pPr>
      <w:ind w:left="720"/>
      <w:contextualSpacing/>
    </w:pPr>
  </w:style>
  <w:style w:type="character" w:customStyle="1" w:styleId="UnresolvedMention">
    <w:name w:val="Unresolved Mention"/>
    <w:basedOn w:val="a0"/>
    <w:uiPriority w:val="99"/>
    <w:semiHidden/>
    <w:unhideWhenUsed/>
    <w:rsid w:val="008704E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48197386">
      <w:bodyDiv w:val="1"/>
      <w:marLeft w:val="0"/>
      <w:marRight w:val="0"/>
      <w:marTop w:val="0"/>
      <w:marBottom w:val="0"/>
      <w:divBdr>
        <w:top w:val="none" w:sz="0" w:space="0" w:color="auto"/>
        <w:left w:val="none" w:sz="0" w:space="0" w:color="auto"/>
        <w:bottom w:val="none" w:sz="0" w:space="0" w:color="auto"/>
        <w:right w:val="none" w:sz="0" w:space="0" w:color="auto"/>
      </w:divBdr>
    </w:div>
    <w:div w:id="1250114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media/45ilqaal/ad00011en24.pdf" TargetMode="External"/><Relationship Id="rId13" Type="http://schemas.openxmlformats.org/officeDocument/2006/relationships/hyperlink" Target="https://documents.un.org/doc/undoc/gen/g22/294/86/pdf/g2229486.pdf" TargetMode="External"/><Relationship Id="rId18" Type="http://schemas.openxmlformats.org/officeDocument/2006/relationships/hyperlink" Target="https://www.parlament.md/ProcesulLegislativ/Proiectedeactenormative/tabid/61/LegislativId/7196/language/ro-RO/Default.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rm.coe.int/sixth-report-on-the-republic-of-moldova/1680b2097e" TargetMode="External"/><Relationship Id="rId17" Type="http://schemas.openxmlformats.org/officeDocument/2006/relationships/hyperlink" Target="https://www.parlament.md/ProcesulLegislativ/Proiectedeactenormative/tabid/61/LegislativId/7199/language/ro-RO/Default.asp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parlament.md/ProcesulLegislativ/Proiectedeactenormative/tabid/61/LegislativId/7196/language/ro-RO/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oe.int/sixth-report-on-the-republic-of-moldova/1680b2097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parlament.md/ProcesulLegislativ/Proiectedeactenormative/tabid/61/LegislativId/7199/language/ro-RO/Default.aspx" TargetMode="External"/><Relationship Id="rId23" Type="http://schemas.openxmlformats.org/officeDocument/2006/relationships/footer" Target="footer2.xml"/><Relationship Id="rId10" Type="http://schemas.openxmlformats.org/officeDocument/2006/relationships/hyperlink" Target="https://www.eeas.europa.eu/sites/default/files/documents/2024/Moldova%20Report%202024.pdf" TargetMode="External"/><Relationship Id="rId19" Type="http://schemas.openxmlformats.org/officeDocument/2006/relationships/hyperlink" Target="http://ong.ngo.md/rus/ong/view/3189" TargetMode="External"/><Relationship Id="rId4" Type="http://schemas.openxmlformats.org/officeDocument/2006/relationships/settings" Target="settings.xml"/><Relationship Id="rId9" Type="http://schemas.openxmlformats.org/officeDocument/2006/relationships/hyperlink" Target="https://eur-lex.europa.eu/legal-content/RO/TXT/PDF/?uri=OJ:L_202401499" TargetMode="External"/><Relationship Id="rId14" Type="http://schemas.openxmlformats.org/officeDocument/2006/relationships/hyperlink" Target="https://eur-lex.europa.eu/legal-content/RO/TXT/PDF/?uri=CELEX:22022D1997&amp;from=E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eLZJYwOrlvEw/d2cf3vaTBEujw==">AMUW2mXWPMlokjMk92SFIFU2xjqO7zPbdYXPRME+Y8rKDc3mhTeMdWMq0+HSb8KXsoKDpMdKhhQaAHsp3eqcBTubVhrkPC0rAVsBYCs6x/04+zpbggYYC5q52QUXLCozOLDXm30c6uZfG/Gf2EzmvDQw3r6Fh3dJVJMxl9CUnaMfkWS6IQ3P/Kw0/awFnwGCffwDwNIW3FSPThdknWmYDCJGOryWCRPd/8g3KHu72sWwosOzAClszcmT3tFQMdCEyK2aTrq7hZ3iXm9xTp/4LGf1S7d/03Wt/N8bv/94K8hKDTiT6zu7n0h+NBsLauJkeerYuGQRfVF84PXgR1zUn4JgexcJDles2uYrgmnKbg7tpw0BqpuBmd09cech9L8FBCLuQ3CmPUdFndjwf/bw2zvsY7wNDVeFL4StdS4ToxkaacUfB0dKZLXjwutEwOhrzg/8SBWGZm00pstyFT4emNPIIxXIqI01c3olk9UN2TtqsxI9NsxV0H3SK4+45mBKf2fkJq+YrxSOffW5n1olEs3chjyv83JczRpXP4ZYsiq71a4+5HrheSIpe9DYhQGL6tGxIMwBILswJxRQ4HO11q3/zGcNE8xsQBjuAE8K78OFav/e/7tI+BtPbKyZvDgeCe61EUHIyR5/3MZqMTEdH7lzrRETz4VuRMPviJGCFgk8zDMl0wMSonwR8bAUoQttiGTFmx629kBzrb/VQkZXk5D/vPufQOxaUjnLZAdXLj9FQwRjpoARAixHGt4H6hpQ2u7DO5vt8XS+hpCXEuaIh40rfeoPxtj2tvlJ0EeLWrQCDrAukK5H21uM/q2knk/1fuaTI1xOklurXY/2b5tj7qyumi9xfXoxKK4vpRHDDxo30VqwOXm/jSK5UFlDW5io75Jdu+QRFZwzBScRgn37omE5XIZnyvqj7FT9UqeQoKOsEpF+Np9Q3nKRZmNwmgzaeCUyEqvB4iRi0ypVkm6KQX3RsfLJ4sccruQX/VKWPJDLw9Ce50NBttQBrRLV0s9JWHhsRVvlSujWRiKaaba/gqwAqW/tlIBnAqu5hUUDOQeGywaNe0/7I9uH+4fFiGMd/OmnXHTijMKu5gfvsR55oCmpy2KYxuBN0f6GrWOFu/YFxjbKUodjJmtUnjaucxiX/NN73+c4FSVIETRfHJVAWIJSYJBbDgM6/5YL45PtQg33SSZbzMWNbNY8qxOyOn0NiPFzU+l+wE/PGUZnE1bgI9AAcuMorNvlB9SdNAQRtBUyo7VYhb6yH/E7rHU2gchuwCTNc/DIARvOYaKomiO2N3znbYyeneeR5Uqvl10ufB0NMH4Qg/HPi/RGYe79eRvOVPT3bB0TZT2VAGBNmLvwUQhRxEu/WanhaBja8uuP7y73cV3RNTmd4fQYaVbmf9Z5xk0NV0ZP2likBivSwpw54RHASUES4WpNtvGek42w0TsA3OXx4Hozx2iePhtOJvikKyRX3+jN6tu+4zttcdkQNN/71O37ZjnlE88r2B12RB6q5yeAxb4KgjcLx+uWr1qjmYTqHxL24YF1lMRvsQYDiZSA0DUN0hKA8DlJBNh02uNwYLQUXr4SjtO6dge+pw6A4d/HJs3aa0qfljwbrAWdLUkdzgCwJioG3WROawDJiwcbIO/71dRM4MSUnuQX5wn5KDIDGzp/MEZdRI99sb6V7fPVK/hOd73uJt1ntL+XQNLaou/Ii8LjZR15Mp8bFJEHPu7aJgU7J1ObsHDLTdAtxp2sstO61wfkqs9NmNe4u3hltKAOdNvFT9PfCqUxl1sq/LOIol3TL1A2/nUXrMnSsCpw5OXV95uBZuB1+5FpA2hJbWE5JH//prS5cyzMMnyO9PawitKredH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8961</Characters>
  <Application>Microsoft Office Word</Application>
  <DocSecurity>0</DocSecurity>
  <Lines>74</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Corobcenco</dc:creator>
  <cp:lastModifiedBy>01</cp:lastModifiedBy>
  <cp:revision>2</cp:revision>
  <dcterms:created xsi:type="dcterms:W3CDTF">2024-12-10T18:48:00Z</dcterms:created>
  <dcterms:modified xsi:type="dcterms:W3CDTF">2024-12-10T18:48:00Z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3e470f880565b00588cc8c622c07a75359dc755e4505c377044ef7da95729ac0</vt:lpwstr>
  </property>
</Properties>
</file>